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2F" w:rsidRDefault="0051362F" w:rsidP="0051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E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228FA">
        <w:rPr>
          <w:rFonts w:ascii="Times New Roman" w:hAnsi="Times New Roman" w:cs="Times New Roman"/>
          <w:b/>
          <w:bCs/>
          <w:sz w:val="28"/>
          <w:szCs w:val="28"/>
        </w:rPr>
        <w:t>аспорт инвестиционной площадки</w:t>
      </w:r>
    </w:p>
    <w:p w:rsidR="0051362F" w:rsidRPr="00B94E64" w:rsidRDefault="0051362F" w:rsidP="00513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770662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2" w:rsidRPr="00D67F9E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2" w:rsidRPr="00770662" w:rsidRDefault="004D7FA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№ 67-17-41</w:t>
            </w: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1362F" w:rsidRPr="00D67F9E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65F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2265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A75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западнее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Иванисово</w:t>
            </w:r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Вадинского</w:t>
            </w:r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Сафоновского района Смоленской области</w:t>
            </w: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площадки </w:t>
            </w:r>
            <w:r w:rsidRPr="00B94E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B94E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</w:tbl>
    <w:p w:rsidR="0051362F" w:rsidRPr="00B94E64" w:rsidRDefault="0051362F" w:rsidP="006F46C7">
      <w:pPr>
        <w:shd w:val="clear" w:color="auto" w:fill="FFFFFF"/>
        <w:spacing w:before="120" w:after="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государственная, требуется перевод в категорию земель сельскохозяйственного назначения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500" w:type="pct"/>
          </w:tcPr>
          <w:p w:rsidR="00770662" w:rsidRPr="000F4637" w:rsidRDefault="00770662" w:rsidP="006F46C7">
            <w:pPr>
              <w:spacing w:after="0"/>
              <w:rPr>
                <w:rFonts w:ascii="Times New Roman" w:hAnsi="Times New Roman" w:cs="Times New Roman"/>
              </w:rPr>
            </w:pPr>
            <w:r w:rsidRPr="000F4637">
              <w:rPr>
                <w:rFonts w:ascii="Times New Roman" w:hAnsi="Times New Roman" w:cs="Times New Roman"/>
              </w:rPr>
              <w:t>Смоленская обл., г.Сафоново, ул.Ленина, д.3</w:t>
            </w:r>
          </w:p>
        </w:tc>
      </w:tr>
      <w:tr w:rsidR="00BF543E" w:rsidRPr="001D7AF3" w:rsidTr="00C274B4">
        <w:tc>
          <w:tcPr>
            <w:tcW w:w="2500" w:type="pct"/>
            <w:tcBorders>
              <w:bottom w:val="nil"/>
            </w:tcBorders>
          </w:tcPr>
          <w:p w:rsidR="00BF543E" w:rsidRPr="00BF543E" w:rsidRDefault="00BF543E" w:rsidP="00BF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500" w:type="pct"/>
            <w:tcBorders>
              <w:bottom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A7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Администрации муниципального образования "Сафоновский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 xml:space="preserve">" Смоленской области 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BF543E" w:rsidRPr="001D7AF3" w:rsidTr="00C274B4">
        <w:tc>
          <w:tcPr>
            <w:tcW w:w="2500" w:type="pct"/>
            <w:tcBorders>
              <w:top w:val="nil"/>
            </w:tcBorders>
          </w:tcPr>
          <w:p w:rsidR="00BF543E" w:rsidRPr="00BF543E" w:rsidRDefault="00BF543E" w:rsidP="00BF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BF543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500" w:type="pct"/>
            <w:tcBorders>
              <w:top w:val="nil"/>
            </w:tcBorders>
          </w:tcPr>
          <w:p w:rsidR="00BF543E" w:rsidRPr="00BF543E" w:rsidRDefault="00BF543E" w:rsidP="00BF54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3E">
              <w:rPr>
                <w:rFonts w:ascii="Times New Roman" w:hAnsi="Times New Roman" w:cs="Times New Roman"/>
                <w:sz w:val="24"/>
                <w:szCs w:val="24"/>
              </w:rPr>
              <w:t>safonovo@admin-smolensk.ru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770662" w:rsidRPr="001D7AF3" w:rsidTr="00C274B4">
        <w:tc>
          <w:tcPr>
            <w:tcW w:w="2500" w:type="pct"/>
          </w:tcPr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6F46C7" w:rsidRPr="006F46C7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- размер земельного налога;</w:t>
            </w:r>
          </w:p>
          <w:p w:rsidR="00770662" w:rsidRPr="00B94E64" w:rsidRDefault="006F46C7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F46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500" w:type="pct"/>
          </w:tcPr>
          <w:p w:rsidR="00770662" w:rsidRPr="00600A22" w:rsidRDefault="000F4637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Расчетная стоимость аренды</w:t>
            </w:r>
          </w:p>
        </w:tc>
        <w:tc>
          <w:tcPr>
            <w:tcW w:w="2500" w:type="pct"/>
          </w:tcPr>
          <w:p w:rsidR="00770662" w:rsidRPr="00600A22" w:rsidRDefault="000F4637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70662" w:rsidRPr="001D7AF3" w:rsidTr="00C274B4">
        <w:tc>
          <w:tcPr>
            <w:tcW w:w="5000" w:type="pct"/>
            <w:gridSpan w:val="2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земельного участка: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0" w:type="pct"/>
          </w:tcPr>
          <w:p w:rsidR="00770662" w:rsidRPr="00B94E64" w:rsidRDefault="004D7FA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многоугольная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Возможность расш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ирения  земельного участка (да/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Функциональная зона (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hAnsi="Times New Roman" w:cs="Times New Roman"/>
                <w:sz w:val="24"/>
                <w:szCs w:val="24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ий и/или видеонаблюдения (есть/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нет)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Рельеф земельного участка (горизонтальная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поверхность, монотонный склон; 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ландшафт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Дерново-подзолистая почва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Глубина промерзания, м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Уровень грунтовых вод, м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0,6-0,9 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65F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Приоритетное направление использования </w:t>
            </w:r>
            <w:r w:rsidRPr="001D7AF3">
              <w:rPr>
                <w:b/>
                <w:bCs/>
                <w:spacing w:val="-3"/>
                <w:sz w:val="24"/>
                <w:szCs w:val="24"/>
              </w:rPr>
              <w:t>площадки</w:t>
            </w:r>
          </w:p>
        </w:tc>
        <w:tc>
          <w:tcPr>
            <w:tcW w:w="2500" w:type="pct"/>
          </w:tcPr>
          <w:p w:rsidR="00770662" w:rsidRPr="00DD14CA" w:rsidRDefault="00770662" w:rsidP="00A75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 (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животноводство, выпас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(км)</w:t>
            </w:r>
          </w:p>
        </w:tc>
        <w:tc>
          <w:tcPr>
            <w:tcW w:w="2500" w:type="pct"/>
          </w:tcPr>
          <w:p w:rsidR="00770662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770662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зона около д. Иванисово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6F46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500" w:type="pct"/>
          </w:tcPr>
          <w:p w:rsidR="00770662" w:rsidRPr="00DD14CA" w:rsidRDefault="00770662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Использовалась под возделывание кормовых культур</w:t>
            </w:r>
          </w:p>
        </w:tc>
      </w:tr>
    </w:tbl>
    <w:p w:rsidR="0051362F" w:rsidRPr="00B94E64" w:rsidRDefault="0051362F" w:rsidP="006F4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2F" w:rsidRPr="00B94E64" w:rsidRDefault="0051362F" w:rsidP="006F46C7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(км):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км (г. Смоленск)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км (г. Москва)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км (г. Ярцево)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 xml:space="preserve"> км (д. Иванисово)</w:t>
            </w:r>
          </w:p>
        </w:tc>
      </w:tr>
      <w:tr w:rsidR="0051362F" w:rsidRPr="001D7AF3" w:rsidTr="00C274B4"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км (М1 «Беларусь»)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51362F" w:rsidP="006F46C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км (ст. Сафоново) </w:t>
            </w:r>
          </w:p>
        </w:tc>
      </w:tr>
    </w:tbl>
    <w:p w:rsidR="0051362F" w:rsidRPr="00B94E64" w:rsidRDefault="0051362F" w:rsidP="006F46C7">
      <w:pPr>
        <w:spacing w:before="120"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Доступ к площадке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</w:tr>
      <w:tr w:rsidR="0051362F" w:rsidRPr="001D7AF3" w:rsidTr="00C274B4">
        <w:trPr>
          <w:trHeight w:val="1394"/>
        </w:trPr>
        <w:tc>
          <w:tcPr>
            <w:tcW w:w="2500" w:type="pct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находится в 25 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>км от автомагистрали М1 «Беларусь»  вдоль насыпной дороги от д. Иванисово. По площадке проложена сеть грунтовых автомобильных дорог.</w:t>
            </w:r>
          </w:p>
        </w:tc>
      </w:tr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51362F" w:rsidP="006F46C7">
            <w:pPr>
              <w:spacing w:after="0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</w:tcPr>
          <w:p w:rsidR="0051362F" w:rsidRPr="00B94E64" w:rsidRDefault="00A75C31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располагается в 25 </w:t>
            </w:r>
            <w:r w:rsidR="0051362F">
              <w:rPr>
                <w:rFonts w:ascii="Times New Roman" w:hAnsi="Times New Roman" w:cs="Times New Roman"/>
                <w:sz w:val="24"/>
                <w:szCs w:val="24"/>
              </w:rPr>
              <w:t>км от ст. Сафоново на железнодорожной ветке до г.Москва</w:t>
            </w:r>
          </w:p>
        </w:tc>
      </w:tr>
      <w:tr w:rsidR="0051362F" w:rsidRPr="001D7AF3" w:rsidTr="00C274B4">
        <w:trPr>
          <w:trHeight w:val="178"/>
        </w:trPr>
        <w:tc>
          <w:tcPr>
            <w:tcW w:w="5000" w:type="pct"/>
            <w:gridSpan w:val="2"/>
          </w:tcPr>
          <w:p w:rsidR="0051362F" w:rsidRPr="00B94E64" w:rsidRDefault="0051362F" w:rsidP="006F4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</w:tr>
      <w:tr w:rsidR="0051362F" w:rsidRPr="001D7AF3" w:rsidTr="00C274B4">
        <w:trPr>
          <w:trHeight w:val="178"/>
        </w:trPr>
        <w:tc>
          <w:tcPr>
            <w:tcW w:w="2500" w:type="pct"/>
          </w:tcPr>
          <w:p w:rsidR="0051362F" w:rsidRPr="00B94E64" w:rsidRDefault="00770662" w:rsidP="006F46C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00" w:type="pct"/>
          </w:tcPr>
          <w:p w:rsidR="0051362F" w:rsidRPr="00B94E64" w:rsidRDefault="00770662" w:rsidP="006F46C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51362F" w:rsidRDefault="0051362F" w:rsidP="0051362F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362F" w:rsidRPr="00B94E64" w:rsidRDefault="0051362F" w:rsidP="0051362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27"/>
        <w:gridCol w:w="1257"/>
        <w:gridCol w:w="1453"/>
        <w:gridCol w:w="1365"/>
        <w:gridCol w:w="1699"/>
        <w:gridCol w:w="1801"/>
        <w:gridCol w:w="1423"/>
        <w:gridCol w:w="1616"/>
        <w:gridCol w:w="1827"/>
      </w:tblGrid>
      <w:tr w:rsidR="0051362F" w:rsidRPr="001D7AF3" w:rsidTr="00C274B4">
        <w:trPr>
          <w:cantSplit/>
          <w:trHeight w:val="284"/>
        </w:trPr>
        <w:tc>
          <w:tcPr>
            <w:tcW w:w="81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342" w:type="pct"/>
            <w:vAlign w:val="center"/>
          </w:tcPr>
          <w:p w:rsidR="0051362F" w:rsidRPr="00386DC6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4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7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11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Высота этажа, м</w:t>
            </w:r>
          </w:p>
        </w:tc>
        <w:tc>
          <w:tcPr>
            <w:tcW w:w="62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1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2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93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в настоящее время</w:t>
            </w:r>
          </w:p>
        </w:tc>
      </w:tr>
      <w:tr w:rsidR="0051362F" w:rsidRPr="001D7AF3" w:rsidTr="00C274B4">
        <w:trPr>
          <w:cantSplit/>
          <w:trHeight w:val="284"/>
        </w:trPr>
        <w:tc>
          <w:tcPr>
            <w:tcW w:w="81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2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51362F" w:rsidRPr="00B94E64" w:rsidRDefault="0051362F" w:rsidP="00C274B4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8FA" w:rsidRDefault="006228FA" w:rsidP="0051362F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1362F" w:rsidRPr="00B94E64" w:rsidRDefault="0051362F" w:rsidP="0051362F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77"/>
        <w:gridCol w:w="7592"/>
      </w:tblGrid>
      <w:tr w:rsidR="0051362F" w:rsidRPr="001D7AF3" w:rsidTr="00C274B4">
        <w:tc>
          <w:tcPr>
            <w:tcW w:w="5000" w:type="pct"/>
            <w:gridSpan w:val="2"/>
          </w:tcPr>
          <w:p w:rsidR="0051362F" w:rsidRPr="00300D53" w:rsidRDefault="0051362F" w:rsidP="00C274B4">
            <w:pPr>
              <w:keepNext/>
              <w:tabs>
                <w:tab w:val="left" w:pos="426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коммуникаций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(в случае наличия)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519" w:type="pct"/>
          </w:tcPr>
          <w:p w:rsidR="0051362F" w:rsidRPr="00B94E64" w:rsidRDefault="00A75C31" w:rsidP="00A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площадке имеются доступ посредством грунтовой автомобильной дороги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Ж/д. ветка (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519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362F" w:rsidRPr="001D7AF3" w:rsidTr="00C274B4">
        <w:tc>
          <w:tcPr>
            <w:tcW w:w="2481" w:type="pct"/>
          </w:tcPr>
          <w:p w:rsidR="0051362F" w:rsidRPr="00B94E64" w:rsidRDefault="0051362F" w:rsidP="00C274B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</w:tcPr>
          <w:p w:rsidR="0051362F" w:rsidRPr="00B94E64" w:rsidRDefault="0051362F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1362F" w:rsidRPr="00A84271" w:rsidRDefault="0051362F" w:rsidP="0051362F">
      <w:pPr>
        <w:keepNext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инженерной инфраструктуры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97"/>
        <w:gridCol w:w="1371"/>
        <w:gridCol w:w="3969"/>
        <w:gridCol w:w="2583"/>
        <w:gridCol w:w="1676"/>
        <w:gridCol w:w="3273"/>
      </w:tblGrid>
      <w:tr w:rsidR="0051362F" w:rsidRPr="001D7AF3" w:rsidTr="00C274B4">
        <w:trPr>
          <w:cantSplit/>
          <w:trHeight w:val="290"/>
        </w:trPr>
        <w:tc>
          <w:tcPr>
            <w:tcW w:w="729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1317" w:type="pct"/>
            <w:vAlign w:val="center"/>
          </w:tcPr>
          <w:p w:rsidR="0051362F" w:rsidRPr="0093121E" w:rsidRDefault="0051362F" w:rsidP="00C274B4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57" w:type="pct"/>
            <w:vAlign w:val="center"/>
          </w:tcPr>
          <w:p w:rsidR="0051362F" w:rsidRPr="00B94E64" w:rsidRDefault="0051362F" w:rsidP="00C274B4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56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1086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</w:t>
            </w:r>
            <w:r w:rsidR="00A75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точник подключения находится в 6,5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км от площадки в д. Васильевское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7" w:type="pct"/>
          </w:tcPr>
          <w:p w:rsidR="0051362F" w:rsidRPr="00DD14CA" w:rsidRDefault="00A75C31" w:rsidP="00A75C31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Вблизи</w:t>
            </w:r>
            <w:r w:rsidR="005136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проходит линия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</w:t>
            </w:r>
            <w:r w:rsidR="005136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лектропередач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Водоснабжение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vertAlign w:val="superscript"/>
              </w:rPr>
              <w:t>3</w:t>
            </w: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1362F" w:rsidRPr="001D7AF3" w:rsidTr="00C274B4">
        <w:trPr>
          <w:cantSplit/>
          <w:trHeight w:val="286"/>
        </w:trPr>
        <w:tc>
          <w:tcPr>
            <w:tcW w:w="729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Отопление</w:t>
            </w:r>
          </w:p>
        </w:tc>
        <w:tc>
          <w:tcPr>
            <w:tcW w:w="455" w:type="pct"/>
            <w:vAlign w:val="center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317" w:type="pct"/>
          </w:tcPr>
          <w:p w:rsidR="0051362F" w:rsidRPr="00DD14CA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Отсутствует</w:t>
            </w:r>
          </w:p>
        </w:tc>
        <w:tc>
          <w:tcPr>
            <w:tcW w:w="857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6" w:type="pct"/>
          </w:tcPr>
          <w:p w:rsidR="0051362F" w:rsidRPr="00B94E64" w:rsidRDefault="0051362F" w:rsidP="00C274B4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228FA" w:rsidRDefault="006228FA" w:rsidP="0051362F">
      <w:pPr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2F" w:rsidRPr="00B94E64" w:rsidRDefault="0051362F" w:rsidP="0051362F">
      <w:pPr>
        <w:spacing w:line="22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E64">
        <w:rPr>
          <w:rFonts w:ascii="Times New Roman" w:hAnsi="Times New Roman" w:cs="Times New Roman"/>
          <w:b/>
          <w:bCs/>
          <w:sz w:val="24"/>
          <w:szCs w:val="24"/>
        </w:rPr>
        <w:t>Трудовые ресурсы</w:t>
      </w:r>
    </w:p>
    <w:tbl>
      <w:tblPr>
        <w:tblW w:w="5000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4"/>
        <w:gridCol w:w="7535"/>
      </w:tblGrid>
      <w:tr w:rsidR="0051362F" w:rsidRPr="001D7AF3" w:rsidTr="006228FA">
        <w:trPr>
          <w:trHeight w:val="684"/>
        </w:trPr>
        <w:tc>
          <w:tcPr>
            <w:tcW w:w="2500" w:type="pct"/>
          </w:tcPr>
          <w:p w:rsidR="0051362F" w:rsidRPr="00B94E64" w:rsidRDefault="0051362F" w:rsidP="00C274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</w:tcPr>
          <w:p w:rsidR="0051362F" w:rsidRPr="00B94E64" w:rsidRDefault="005B6123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Васильевское, </w:t>
            </w:r>
            <w:r w:rsidR="006228FA">
              <w:rPr>
                <w:rFonts w:ascii="Times New Roman" w:hAnsi="Times New Roman" w:cs="Times New Roman"/>
                <w:sz w:val="24"/>
                <w:szCs w:val="24"/>
              </w:rPr>
              <w:t xml:space="preserve"> Сафоновского района Смоленской области – 169 чел.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C2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</w:tcPr>
          <w:p w:rsidR="00770662" w:rsidRPr="00BF2A22" w:rsidRDefault="00770662" w:rsidP="00A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Сафоновский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- 31917</w:t>
            </w:r>
            <w:r w:rsidRPr="00BF2A2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70662" w:rsidRPr="001D7AF3" w:rsidTr="00C274B4">
        <w:tc>
          <w:tcPr>
            <w:tcW w:w="2500" w:type="pct"/>
          </w:tcPr>
          <w:p w:rsidR="00770662" w:rsidRPr="00B94E64" w:rsidRDefault="00770662" w:rsidP="00C274B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94E64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 соседних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муниципальных </w:t>
            </w:r>
            <w:r w:rsidRPr="00B94E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2500" w:type="pct"/>
          </w:tcPr>
          <w:p w:rsidR="00A75C31" w:rsidRPr="00A75C31" w:rsidRDefault="00A75C31" w:rsidP="00A75C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«Ярцевский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– 27087 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чел,                   </w:t>
            </w:r>
          </w:p>
          <w:p w:rsidR="00A75C31" w:rsidRPr="00A75C31" w:rsidRDefault="00A75C31" w:rsidP="00A75C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МО «Дорогобужский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– 13926 чел.,          </w:t>
            </w:r>
          </w:p>
          <w:p w:rsidR="00770662" w:rsidRPr="00600A22" w:rsidRDefault="00A75C31" w:rsidP="00A75C31">
            <w:pPr>
              <w:pStyle w:val="ab"/>
            </w:pPr>
            <w:r w:rsidRPr="00A75C31">
              <w:rPr>
                <w:rFonts w:ascii="Times New Roman" w:hAnsi="Times New Roman" w:cs="Times New Roman"/>
                <w:sz w:val="24"/>
                <w:szCs w:val="24"/>
              </w:rPr>
              <w:t>МО «Вяземский муниципальный округ</w:t>
            </w:r>
            <w:r w:rsidR="00770662" w:rsidRPr="00A75C31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– 40888 чел.</w:t>
            </w:r>
          </w:p>
        </w:tc>
      </w:tr>
    </w:tbl>
    <w:p w:rsidR="0051362F" w:rsidRDefault="0051362F"/>
    <w:tbl>
      <w:tblPr>
        <w:tblpPr w:leftFromText="180" w:rightFromText="180" w:vertAnchor="page" w:horzAnchor="margin" w:tblpY="221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7503"/>
      </w:tblGrid>
      <w:tr w:rsidR="00A870B8" w:rsidRPr="00A91228">
        <w:trPr>
          <w:trHeight w:val="363"/>
        </w:trPr>
        <w:tc>
          <w:tcPr>
            <w:tcW w:w="15408" w:type="dxa"/>
            <w:gridSpan w:val="2"/>
            <w:tcBorders>
              <w:top w:val="nil"/>
              <w:left w:val="nil"/>
              <w:right w:val="nil"/>
            </w:tcBorders>
          </w:tcPr>
          <w:p w:rsidR="00A870B8" w:rsidRDefault="00A870B8" w:rsidP="00476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Инвестиционная площадка №</w:t>
            </w:r>
            <w:r w:rsidR="004D7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67-17-41</w:t>
            </w:r>
          </w:p>
          <w:p w:rsidR="004760B7" w:rsidRPr="00A91228" w:rsidRDefault="004760B7" w:rsidP="0047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0B8" w:rsidRPr="00A91228" w:rsidTr="006F46C7">
        <w:tc>
          <w:tcPr>
            <w:tcW w:w="7905" w:type="dxa"/>
            <w:vAlign w:val="center"/>
          </w:tcPr>
          <w:p w:rsidR="00A870B8" w:rsidRPr="00A91228" w:rsidRDefault="00A75C31" w:rsidP="004F12E9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8ECD75" wp14:editId="786CE382">
                  <wp:extent cx="4064922" cy="3724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415" cy="3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</w:tcPr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Месторасположение: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адрес: 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район, </w:t>
            </w:r>
            <w:r w:rsidR="005B6123">
              <w:rPr>
                <w:rFonts w:ascii="Times New Roman" w:hAnsi="Times New Roman" w:cs="Times New Roman"/>
                <w:sz w:val="24"/>
                <w:szCs w:val="24"/>
              </w:rPr>
              <w:t>Вадинское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г. Москвы: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г. Смоленска: </w:t>
            </w:r>
            <w:r w:rsidR="006A115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расстояние до районного центра: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A870B8" w:rsidRPr="00A91228" w:rsidRDefault="00A870B8" w:rsidP="004F12E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Характеристика участка: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площадь: </w:t>
            </w:r>
            <w:r w:rsidR="004D7FA2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земель: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использования: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животноводство (выпас сельскохозяйственных животных)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форма собственности: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1156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перевод в категорию земель сельскохозяйственного назначения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Подъездные пути: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насыпная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 от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д. Иванисово </w:t>
            </w:r>
            <w:r w:rsidR="005B6123">
              <w:rPr>
                <w:rFonts w:ascii="Times New Roman" w:hAnsi="Times New Roman" w:cs="Times New Roman"/>
                <w:sz w:val="24"/>
                <w:szCs w:val="24"/>
              </w:rPr>
              <w:t>Вадинского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железная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46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от площадки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Инженерная коммуникация: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газоснабжение: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электроснабжение: </w:t>
            </w:r>
            <w:r w:rsidR="00A75C31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ЛЭП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 водоснабжение: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 xml:space="preserve">- водоотведение: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B8" w:rsidRPr="00A91228" w:rsidRDefault="00A870B8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B8" w:rsidRPr="00F03570" w:rsidRDefault="00A870B8" w:rsidP="00F035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Условия приобретения:</w:t>
            </w:r>
          </w:p>
          <w:p w:rsidR="00A870B8" w:rsidRPr="00A91228" w:rsidRDefault="000F4637" w:rsidP="004F12E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аренда</w:t>
            </w:r>
            <w:r w:rsidR="00A870B8" w:rsidRPr="00A9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70B8" w:rsidRPr="006D1E65" w:rsidRDefault="00A870B8" w:rsidP="00445531">
      <w:pPr>
        <w:tabs>
          <w:tab w:val="left" w:pos="7371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870B8" w:rsidRPr="006D1E65" w:rsidSect="00445531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76" w:rsidRDefault="00555776" w:rsidP="00563194">
      <w:pPr>
        <w:spacing w:after="0" w:line="240" w:lineRule="auto"/>
      </w:pPr>
      <w:r>
        <w:separator/>
      </w:r>
    </w:p>
  </w:endnote>
  <w:endnote w:type="continuationSeparator" w:id="0">
    <w:p w:rsidR="00555776" w:rsidRDefault="00555776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76" w:rsidRDefault="00555776" w:rsidP="00563194">
      <w:pPr>
        <w:spacing w:after="0" w:line="240" w:lineRule="auto"/>
      </w:pPr>
      <w:r>
        <w:separator/>
      </w:r>
    </w:p>
  </w:footnote>
  <w:footnote w:type="continuationSeparator" w:id="0">
    <w:p w:rsidR="00555776" w:rsidRDefault="00555776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17A7"/>
    <w:rsid w:val="000A4028"/>
    <w:rsid w:val="000C6194"/>
    <w:rsid w:val="000E70CB"/>
    <w:rsid w:val="000F1C36"/>
    <w:rsid w:val="000F4637"/>
    <w:rsid w:val="0012485D"/>
    <w:rsid w:val="00133BD6"/>
    <w:rsid w:val="00153811"/>
    <w:rsid w:val="001B1DD6"/>
    <w:rsid w:val="001F3164"/>
    <w:rsid w:val="00222FE8"/>
    <w:rsid w:val="0024260D"/>
    <w:rsid w:val="00293614"/>
    <w:rsid w:val="002A37B3"/>
    <w:rsid w:val="002B1D15"/>
    <w:rsid w:val="002B3F50"/>
    <w:rsid w:val="002C6BFE"/>
    <w:rsid w:val="002E02B5"/>
    <w:rsid w:val="002F6A2A"/>
    <w:rsid w:val="00312238"/>
    <w:rsid w:val="00385A7E"/>
    <w:rsid w:val="003876A9"/>
    <w:rsid w:val="003A01C4"/>
    <w:rsid w:val="003C6B4D"/>
    <w:rsid w:val="003E7D8B"/>
    <w:rsid w:val="00441F12"/>
    <w:rsid w:val="00445531"/>
    <w:rsid w:val="004760B7"/>
    <w:rsid w:val="004D7FA2"/>
    <w:rsid w:val="004F0D5C"/>
    <w:rsid w:val="004F12E9"/>
    <w:rsid w:val="0051362F"/>
    <w:rsid w:val="00523186"/>
    <w:rsid w:val="00547CBC"/>
    <w:rsid w:val="00555776"/>
    <w:rsid w:val="00563194"/>
    <w:rsid w:val="00564F8F"/>
    <w:rsid w:val="00565B12"/>
    <w:rsid w:val="005825F6"/>
    <w:rsid w:val="00594E78"/>
    <w:rsid w:val="005A3312"/>
    <w:rsid w:val="005B6123"/>
    <w:rsid w:val="005C0E38"/>
    <w:rsid w:val="005D0DCC"/>
    <w:rsid w:val="005D3584"/>
    <w:rsid w:val="00604690"/>
    <w:rsid w:val="006228FA"/>
    <w:rsid w:val="006360B0"/>
    <w:rsid w:val="006825F9"/>
    <w:rsid w:val="00682E2A"/>
    <w:rsid w:val="006A1156"/>
    <w:rsid w:val="006A5BD7"/>
    <w:rsid w:val="006D1E65"/>
    <w:rsid w:val="006E59B0"/>
    <w:rsid w:val="006F46C7"/>
    <w:rsid w:val="007024A9"/>
    <w:rsid w:val="007472C6"/>
    <w:rsid w:val="0075047A"/>
    <w:rsid w:val="00770662"/>
    <w:rsid w:val="00784E44"/>
    <w:rsid w:val="007C2B04"/>
    <w:rsid w:val="007C3287"/>
    <w:rsid w:val="00816795"/>
    <w:rsid w:val="00832F8C"/>
    <w:rsid w:val="00843AAB"/>
    <w:rsid w:val="008B2248"/>
    <w:rsid w:val="008C3782"/>
    <w:rsid w:val="008D6114"/>
    <w:rsid w:val="008F1D27"/>
    <w:rsid w:val="00932BC4"/>
    <w:rsid w:val="00946AF2"/>
    <w:rsid w:val="00952A72"/>
    <w:rsid w:val="009664F8"/>
    <w:rsid w:val="009B16CB"/>
    <w:rsid w:val="009C320E"/>
    <w:rsid w:val="009D707F"/>
    <w:rsid w:val="00A017A7"/>
    <w:rsid w:val="00A75C31"/>
    <w:rsid w:val="00A769E3"/>
    <w:rsid w:val="00A870B8"/>
    <w:rsid w:val="00A91228"/>
    <w:rsid w:val="00A961A2"/>
    <w:rsid w:val="00AE7FDB"/>
    <w:rsid w:val="00B01A44"/>
    <w:rsid w:val="00B35535"/>
    <w:rsid w:val="00B37807"/>
    <w:rsid w:val="00B41626"/>
    <w:rsid w:val="00B5286A"/>
    <w:rsid w:val="00B76DB7"/>
    <w:rsid w:val="00BF543E"/>
    <w:rsid w:val="00C73B80"/>
    <w:rsid w:val="00C74447"/>
    <w:rsid w:val="00CD26C8"/>
    <w:rsid w:val="00CF36CD"/>
    <w:rsid w:val="00D20492"/>
    <w:rsid w:val="00D24797"/>
    <w:rsid w:val="00D606DF"/>
    <w:rsid w:val="00D819A1"/>
    <w:rsid w:val="00DD3048"/>
    <w:rsid w:val="00DD5202"/>
    <w:rsid w:val="00E22501"/>
    <w:rsid w:val="00E23655"/>
    <w:rsid w:val="00E2371A"/>
    <w:rsid w:val="00E515A6"/>
    <w:rsid w:val="00E7646E"/>
    <w:rsid w:val="00EF57E3"/>
    <w:rsid w:val="00F03570"/>
    <w:rsid w:val="00FA222F"/>
    <w:rsid w:val="00FE4C31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312"/>
    <w:pPr>
      <w:ind w:left="720"/>
    </w:pPr>
  </w:style>
  <w:style w:type="paragraph" w:styleId="a4">
    <w:name w:val="header"/>
    <w:basedOn w:val="a"/>
    <w:link w:val="a5"/>
    <w:uiPriority w:val="99"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63194"/>
  </w:style>
  <w:style w:type="paragraph" w:styleId="a6">
    <w:name w:val="footer"/>
    <w:basedOn w:val="a"/>
    <w:link w:val="a7"/>
    <w:uiPriority w:val="99"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3194"/>
  </w:style>
  <w:style w:type="table" w:styleId="a8">
    <w:name w:val="Table Grid"/>
    <w:basedOn w:val="a1"/>
    <w:uiPriority w:val="99"/>
    <w:rsid w:val="006360B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133BD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75C3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3</cp:revision>
  <cp:lastPrinted>2023-05-25T06:27:00Z</cp:lastPrinted>
  <dcterms:created xsi:type="dcterms:W3CDTF">2025-01-13T12:09:00Z</dcterms:created>
  <dcterms:modified xsi:type="dcterms:W3CDTF">2025-01-13T12:09:00Z</dcterms:modified>
</cp:coreProperties>
</file>