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проект постановления Администрации муниципального образования «Сафоновский район» Смоленской области «О внесении изменений в Порядок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на территории Сафоновского района»»»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"Сафоновский район"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https://regulation.admin-smolensk.ru/projects#npa=674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12.08.2024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21.08.2024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/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проекта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проектом областного нормативного правового акта?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 содержит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6. Иные предложения и замечания по проекту областного нормативного правового акта.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проверить правописание предпоследней строки НПА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