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3D83" w14:textId="77777777" w:rsidR="003530C7" w:rsidRDefault="00000000">
      <w:pPr>
        <w:pStyle w:val="af0"/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Минэкономразвития напоминает предпринимателям о мерах господдержки и правах при госконтроле</w:t>
      </w:r>
    </w:p>
    <w:p w14:paraId="2B77CB18" w14:textId="77777777" w:rsidR="003530C7" w:rsidRDefault="003530C7">
      <w:pPr>
        <w:pStyle w:val="af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B71EFA" w14:textId="77777777" w:rsidR="003530C7" w:rsidRDefault="00000000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Ежегодно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26 мая отмечается День российского предпринимательства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установленный Указом Президента России. </w:t>
      </w:r>
    </w:p>
    <w:p w14:paraId="652C2CB1" w14:textId="7E83EE0F" w:rsidR="003530C7" w:rsidRDefault="00000000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Минэкономразвития России считает важным в этот праздник напомнить о мерах, которые помогают развитию предпринимательства, способствуют созданию более комфортной среды для работы малого, среднего и крупного бизнеса в России. Этому посвящена специальная серия видеороликов министерства</w:t>
      </w:r>
      <w:r w:rsidR="00D15C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правах бизнесменов при госконтроле и актуальных мерах государственной поддержки, действующих в 2023 году для бизнеса. </w:t>
      </w:r>
    </w:p>
    <w:p w14:paraId="6ABB7444" w14:textId="77777777" w:rsidR="003530C7" w:rsidRDefault="00000000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серию вошли три ролика: «ПРОВЕРКИ: ПРОСТО О ГЛАВНОМ» рассказывает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о правах предпринимателя при проведении проверок, «ПРЕДПРИНИМАТЕЛЮ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О ПРЕДОСТЕРЕЖЕНИИ» — о правах предпринимателей в случае получения предостережения, третий ролик дает обзор действующих мер государственной поддержки бизнеса.</w:t>
      </w:r>
    </w:p>
    <w:p w14:paraId="3468391C" w14:textId="77777777" w:rsidR="003530C7" w:rsidRDefault="00000000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Общий хронометраж трех роликов составляет 8 минут. За это время предприниматель сможет ознакомиться с алгоритмами действий после получения уведомления о проведении проверки или предостережения от контрольного органа, узнает, что бизнесмену следует делать при несогласии с предостережением, как именно будет проходить проверка, действие каких документов продлено автоматически на 2023 год и многое другое.</w:t>
      </w:r>
    </w:p>
    <w:p w14:paraId="1D63A9EF" w14:textId="3A09F7CF" w:rsidR="003530C7" w:rsidRPr="00D15CA5" w:rsidRDefault="00000000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*Минэкономразвития рекомендует органам исполнительной власти поддержать публикацию полезных социальных роликов и присоединяться к сообществу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Телеграм-канала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hyperlink r:id="rId6" w:history="1">
        <w:r w:rsidR="00D15CA5">
          <w:rPr>
            <w:rStyle w:val="af2"/>
            <w:rFonts w:ascii="Times New Roman" w:hAnsi="Times New Roman"/>
            <w:sz w:val="24"/>
            <w:highlight w:val="white"/>
          </w:rPr>
          <w:t>«Мастерская контроля»</w:t>
        </w:r>
      </w:hyperlink>
      <w:r w:rsidR="00D15CA5">
        <w:rPr>
          <w:rStyle w:val="af2"/>
          <w:rFonts w:ascii="Times New Roman" w:hAnsi="Times New Roman"/>
          <w:sz w:val="24"/>
          <w:highlight w:val="white"/>
        </w:rPr>
        <w:t>,</w:t>
      </w:r>
      <w:r w:rsidR="00D15CA5" w:rsidRPr="005A72E6">
        <w:t xml:space="preserve"> </w:t>
      </w:r>
      <w:r w:rsidR="00D15CA5" w:rsidRPr="00D15CA5">
        <w:rPr>
          <w:rFonts w:ascii="Times New Roman" w:hAnsi="Times New Roman"/>
          <w:color w:val="000000" w:themeColor="text1"/>
          <w:sz w:val="24"/>
          <w:szCs w:val="24"/>
        </w:rPr>
        <w:t>созданного специалистами Центра институционального развития контрольной (надзорной) деятельности Фонда «ЦСР»</w:t>
      </w:r>
      <w:r w:rsidRPr="00D15CA5">
        <w:rPr>
          <w:rFonts w:ascii="Times New Roman" w:hAnsi="Times New Roman"/>
          <w:color w:val="000000" w:themeColor="text1"/>
          <w:sz w:val="24"/>
          <w:szCs w:val="24"/>
        </w:rPr>
        <w:t xml:space="preserve"> для обсуждения лучших практик в сфере контроля (надзора). </w:t>
      </w:r>
    </w:p>
    <w:p w14:paraId="137B0999" w14:textId="77777777" w:rsidR="003530C7" w:rsidRDefault="00000000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размещении видеороликов можно также использовать справочную информацию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о проверках, профилактических мероприятиях и мерах государственной поддержки.  </w:t>
      </w:r>
    </w:p>
    <w:p w14:paraId="722BE8E7" w14:textId="77777777" w:rsidR="003530C7" w:rsidRDefault="00000000">
      <w:pPr>
        <w:pStyle w:val="af0"/>
        <w:spacing w:line="276" w:lineRule="auto"/>
        <w:ind w:firstLine="360"/>
        <w:jc w:val="both"/>
        <w:rPr>
          <w:rFonts w:ascii="xo thames" w:hAnsi="xo thames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t>О проверках</w:t>
      </w:r>
      <w:r>
        <w:rPr>
          <w:rFonts w:ascii="xo thames" w:hAnsi="xo thames"/>
          <w:color w:val="000000" w:themeColor="text1"/>
          <w:sz w:val="24"/>
          <w:szCs w:val="24"/>
          <w:u w:val="single"/>
        </w:rPr>
        <w:t xml:space="preserve"> </w:t>
      </w:r>
    </w:p>
    <w:p w14:paraId="1992DA36" w14:textId="77777777" w:rsidR="003530C7" w:rsidRDefault="00000000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млн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«Госуслуги» пришло уведомления о проведении проверки. Узнать о правах предпринимателя при проверке поможет видеоролик Минэкономразвития России.</w:t>
      </w:r>
    </w:p>
    <w:p w14:paraId="31C9F97F" w14:textId="77777777" w:rsidR="003530C7" w:rsidRDefault="003530C7">
      <w:pPr>
        <w:pStyle w:val="af0"/>
        <w:spacing w:line="276" w:lineRule="auto"/>
        <w:ind w:firstLine="360"/>
        <w:jc w:val="both"/>
        <w:rPr>
          <w:rFonts w:ascii="xo thames" w:hAnsi="xo thames"/>
          <w:color w:val="000000" w:themeColor="text1"/>
          <w:sz w:val="24"/>
          <w:szCs w:val="24"/>
        </w:rPr>
      </w:pPr>
    </w:p>
    <w:p w14:paraId="2C75599A" w14:textId="77777777" w:rsidR="003530C7" w:rsidRDefault="00000000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lastRenderedPageBreak/>
        <w:t xml:space="preserve">О профилактических мероприятиях (профилактических визитах и предостережениях) </w:t>
      </w:r>
    </w:p>
    <w:p w14:paraId="2CFB21F8" w14:textId="77777777" w:rsidR="003530C7" w:rsidRDefault="00000000">
      <w:pPr>
        <w:pStyle w:val="af0"/>
        <w:spacing w:line="276" w:lineRule="auto"/>
        <w:ind w:firstLine="360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Одна из наиболее заметных тенденций 2022 года — стремительный рост использования инструментов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</w:p>
    <w:p w14:paraId="3952E356" w14:textId="77777777" w:rsidR="003530C7" w:rsidRDefault="003530C7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3BE83595" w14:textId="77777777" w:rsidR="003530C7" w:rsidRDefault="00000000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 </w:t>
      </w:r>
    </w:p>
    <w:p w14:paraId="565C58B7" w14:textId="77777777" w:rsidR="003530C7" w:rsidRDefault="003530C7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2FC4382D" w14:textId="77777777" w:rsidR="003530C7" w:rsidRDefault="00000000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</w:p>
    <w:p w14:paraId="15ABEC12" w14:textId="77777777" w:rsidR="003530C7" w:rsidRDefault="003530C7">
      <w:pPr>
        <w:pStyle w:val="af0"/>
        <w:spacing w:line="276" w:lineRule="auto"/>
        <w:jc w:val="both"/>
        <w:rPr>
          <w:rFonts w:ascii="xo thames" w:hAnsi="xo thames"/>
          <w:color w:val="000000" w:themeColor="text1"/>
          <w:sz w:val="24"/>
          <w:szCs w:val="24"/>
        </w:rPr>
      </w:pPr>
    </w:p>
    <w:p w14:paraId="7F8C1A38" w14:textId="77777777" w:rsidR="003530C7" w:rsidRDefault="00000000">
      <w:pPr>
        <w:pStyle w:val="af0"/>
        <w:spacing w:line="276" w:lineRule="auto"/>
        <w:jc w:val="both"/>
        <w:rPr>
          <w:rFonts w:ascii="xo thames" w:hAnsi="xo thames"/>
          <w:b/>
          <w:i/>
          <w:color w:val="000000" w:themeColor="text1"/>
          <w:sz w:val="24"/>
          <w:szCs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t>О мерах государственной поддержки</w:t>
      </w:r>
    </w:p>
    <w:p w14:paraId="3CD6D293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1.</w:t>
      </w:r>
      <w:r>
        <w:rPr>
          <w:rFonts w:ascii="xo thames" w:hAnsi="xo thames"/>
          <w:i/>
          <w:color w:val="000000" w:themeColor="text1"/>
          <w:sz w:val="24"/>
          <w:szCs w:val="24"/>
        </w:rPr>
        <w:tab/>
        <w:t>Разрешительная деятельность и лицензирование</w:t>
      </w:r>
    </w:p>
    <w:p w14:paraId="1859318A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Продление на 12 месяцев отдельных срочных разрешений, сроки действия которых истекают в 2023 году (например, лицензии на телевизионное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на право осуществления деятельности по предоставлению труда работников (персонала) и иные).</w:t>
      </w:r>
    </w:p>
    <w:p w14:paraId="30CE3055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Право ведомств принимать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</w:p>
    <w:p w14:paraId="7121055E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Не требуется переоформлять разрешения в случае переименования юр. лица, изменения наименования географического объекта.</w:t>
      </w:r>
    </w:p>
    <w:p w14:paraId="1AD7D4D9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Не требуется оплата гос. пошлин в рамках лицензирования.</w:t>
      </w:r>
    </w:p>
    <w:p w14:paraId="650D394F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Некоторые особенности разрешительной деятельности в отдельных сферах (например, ускоренная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</w:p>
    <w:p w14:paraId="475C798B" w14:textId="77777777" w:rsidR="003530C7" w:rsidRDefault="003530C7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0BBD9909" w14:textId="16D6CF8C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lastRenderedPageBreak/>
        <w:t>* более подробно можно посмотреть какие изменения были внесены постановлением Правительства РФ от 23.01.2023 N 63 "О внесении изменений в постановление Правительства Российской Федерации от 12 марта 2022 г. N 353 и признании утратившим силу отдельного положения постановления Правительства Российской Федерации от 12 сентября 2022 г. N 1589"</w:t>
      </w:r>
    </w:p>
    <w:p w14:paraId="03A4AD70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2.</w:t>
      </w:r>
      <w:r>
        <w:rPr>
          <w:rFonts w:ascii="xo thames" w:hAnsi="xo thames"/>
          <w:i/>
          <w:color w:val="000000" w:themeColor="text1"/>
          <w:sz w:val="24"/>
          <w:szCs w:val="24"/>
        </w:rPr>
        <w:tab/>
        <w:t>Мораторий на проверки</w:t>
      </w:r>
    </w:p>
    <w:p w14:paraId="58EB15C8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</w:p>
    <w:p w14:paraId="4DAF7BF6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</w:p>
    <w:p w14:paraId="60337231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сад, при необходимости принять меры реагирования, но сохранить средства для развития такого учреждения. </w:t>
      </w:r>
    </w:p>
    <w:p w14:paraId="07321BFF" w14:textId="49E4DCFD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Практически в полном объеме продлены на 2023 год ограничения на внеплановые проверки – подход изменился только в части проверок по индикаторам риска как ключевого элемента риск-ориентированного подхода. Так, теперь можно провести проверку при выявлении любого индикатора риска – в 2022 году проверка допускалась только в случае, если выявленный индикатор риска сопряжен с непосредственной угрозой жизни граждан.  </w:t>
      </w:r>
    </w:p>
    <w:p w14:paraId="2868C314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3. Упрощение оценки соответствия</w:t>
      </w:r>
    </w:p>
    <w:p w14:paraId="5610AE01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Продлена до 1 сентября 2023 г. возможность оформления «упрощенных» деклараций </w:t>
      </w:r>
      <w:r>
        <w:rPr>
          <w:rFonts w:ascii="xo thames" w:hAnsi="xo thames"/>
          <w:i/>
          <w:color w:val="000000" w:themeColor="text1"/>
          <w:sz w:val="24"/>
          <w:szCs w:val="24"/>
        </w:rPr>
        <w:br/>
        <w:t xml:space="preserve">о соответствии продукции на основании доказательств ее безопасности, имеющихся у импортера, производителя, поставщика (п. 6 Приложения № 18 к постановлению Правительства Российской Федерации от 12 марта 2022 г. .№ 353). </w:t>
      </w:r>
    </w:p>
    <w:p w14:paraId="16642C23" w14:textId="6BFEB96A" w:rsidR="003530C7" w:rsidRPr="00D15CA5" w:rsidRDefault="00000000">
      <w:pPr>
        <w:spacing w:before="240" w:after="240" w:line="240" w:lineRule="auto"/>
        <w:jc w:val="both"/>
        <w:rPr>
          <w:color w:val="000000" w:themeColor="text1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Продолжает действовать упрощенный порядок ввоза продукции 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 </w:t>
      </w:r>
    </w:p>
    <w:p w14:paraId="1BFDFE74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4. Аккредитация в национальной системе аккредитации </w:t>
      </w:r>
    </w:p>
    <w:p w14:paraId="7A176368" w14:textId="77777777" w:rsidR="003530C7" w:rsidRDefault="00000000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 </w:t>
      </w:r>
    </w:p>
    <w:p w14:paraId="6E4D809E" w14:textId="77777777" w:rsidR="003530C7" w:rsidRDefault="00000000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 </w:t>
      </w:r>
    </w:p>
    <w:p w14:paraId="2E4C26B5" w14:textId="77777777" w:rsidR="003530C7" w:rsidRDefault="003530C7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3A75CA97" w14:textId="77777777" w:rsidR="003530C7" w:rsidRDefault="003530C7">
      <w:pPr>
        <w:rPr>
          <w:color w:val="000000" w:themeColor="text1"/>
          <w:sz w:val="24"/>
          <w:szCs w:val="24"/>
        </w:rPr>
      </w:pPr>
    </w:p>
    <w:sectPr w:rsidR="003530C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F3D3" w14:textId="77777777" w:rsidR="00890156" w:rsidRDefault="00890156">
      <w:pPr>
        <w:spacing w:after="0" w:line="240" w:lineRule="auto"/>
      </w:pPr>
      <w:r>
        <w:separator/>
      </w:r>
    </w:p>
  </w:endnote>
  <w:endnote w:type="continuationSeparator" w:id="0">
    <w:p w14:paraId="30D7B90D" w14:textId="77777777" w:rsidR="00890156" w:rsidRDefault="0089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 bl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A808" w14:textId="77777777" w:rsidR="00890156" w:rsidRDefault="00890156">
      <w:pPr>
        <w:spacing w:after="0" w:line="240" w:lineRule="auto"/>
      </w:pPr>
      <w:r>
        <w:separator/>
      </w:r>
    </w:p>
  </w:footnote>
  <w:footnote w:type="continuationSeparator" w:id="0">
    <w:p w14:paraId="2286BE96" w14:textId="77777777" w:rsidR="00890156" w:rsidRDefault="00890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C7"/>
    <w:rsid w:val="003530C7"/>
    <w:rsid w:val="00890156"/>
    <w:rsid w:val="00D1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2903"/>
  <w15:docId w15:val="{4064A81C-ABDB-44F3-BC5E-C0BEF482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EDE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DEDE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969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6969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A4A4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single" w:sz="4" w:space="0" w:color="A4A4A4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single" w:sz="4" w:space="0" w:color="9A9A9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bottom w:val="single" w:sz="4" w:space="0" w:color="D1D1D1" w:themeColor="accent2" w:themeTint="97"/>
      </w:tblBorders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8"/>
        <w:bottom w:val="single" w:sz="4" w:space="0" w:color="C0C0C0" w:themeColor="accent3" w:themeTint="98"/>
      </w:tblBorders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bottom w:val="single" w:sz="4" w:space="0" w:color="B2B2B2" w:themeColor="accent4" w:themeTint="9A"/>
      </w:tblBorders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9E9E" w:themeColor="accent5" w:themeTint="9A"/>
        <w:bottom w:val="single" w:sz="4" w:space="0" w:color="9E9E9E" w:themeColor="accent5" w:themeTint="9A"/>
      </w:tblBorders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8"/>
        <w:bottom w:val="single" w:sz="4" w:space="0" w:color="949494" w:themeColor="accent6" w:themeTint="98"/>
      </w:tblBorders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DDDDD" w:themeColor="accent1"/>
      </w:tblBorders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DDD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single" w:sz="4" w:space="0" w:color="DDDDD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1D1D1" w:themeColor="accent2" w:themeTint="97"/>
      </w:tblBorders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0C0C0" w:themeColor="accent3" w:themeTint="98"/>
      </w:tblBorders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C0C0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0C0C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B2B2" w:themeColor="accent4" w:themeTint="9A"/>
      </w:tblBorders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E9E9E" w:themeColor="accent5" w:themeTint="9A"/>
      </w:tblBorders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E9E9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E9E9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49494" w:themeColor="accent6" w:themeTint="98"/>
      </w:tblBorders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949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4949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gotham pro black" w:hAnsi="gotham pro black"/>
      <w:sz w:val="24"/>
    </w:rPr>
  </w:style>
  <w:style w:type="character" w:customStyle="1" w:styleId="Default0">
    <w:name w:val="Default"/>
    <w:link w:val="Default"/>
    <w:rPr>
      <w:rFonts w:ascii="gotham pro black" w:hAnsi="gotham pro black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00">
    <w:name w:val="A0"/>
    <w:link w:val="A01"/>
    <w:rPr>
      <w:b/>
    </w:rPr>
  </w:style>
  <w:style w:type="character" w:customStyle="1" w:styleId="A01">
    <w:name w:val="A0"/>
    <w:link w:val="A00"/>
    <w:rPr>
      <w:b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1b">
    <w:name w:val="Гиперссылка1"/>
    <w:basedOn w:val="19"/>
    <w:link w:val="1c"/>
    <w:rPr>
      <w:color w:val="5F5F5F" w:themeColor="hyperlink"/>
      <w:u w:val="single"/>
    </w:rPr>
  </w:style>
  <w:style w:type="character" w:customStyle="1" w:styleId="1c">
    <w:name w:val="Гиперссылка1"/>
    <w:basedOn w:val="1a"/>
    <w:link w:val="1b"/>
    <w:rPr>
      <w:color w:val="5F5F5F" w:themeColor="hyperlink"/>
      <w:u w:val="single"/>
    </w:rPr>
  </w:style>
  <w:style w:type="paragraph" w:customStyle="1" w:styleId="1d">
    <w:name w:val="Выделение1"/>
    <w:basedOn w:val="19"/>
    <w:link w:val="1e"/>
    <w:rPr>
      <w:i/>
    </w:rPr>
  </w:style>
  <w:style w:type="character" w:customStyle="1" w:styleId="1e">
    <w:name w:val="Выделение1"/>
    <w:basedOn w:val="1a"/>
    <w:link w:val="1d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asterskaya_k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4472C4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5B9BD5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Екатерина Михайловна</dc:creator>
  <cp:lastModifiedBy>Volkovich, Nataliya</cp:lastModifiedBy>
  <cp:revision>2</cp:revision>
  <dcterms:created xsi:type="dcterms:W3CDTF">2023-06-02T15:30:00Z</dcterms:created>
  <dcterms:modified xsi:type="dcterms:W3CDTF">2023-06-02T15:30:00Z</dcterms:modified>
</cp:coreProperties>
</file>