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160A5C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60A5C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Pr="00160A5C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160A5C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12591887" w14:textId="2AA78F4A" w:rsidR="00160A5C" w:rsidRPr="00160A5C" w:rsidRDefault="00160A5C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за период с 10 </w:t>
      </w:r>
      <w:r w:rsidR="0082552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ноября</w:t>
      </w:r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2022 г. по 10 </w:t>
      </w:r>
      <w:r w:rsidR="0082552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ноября</w:t>
      </w:r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2023 г.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625637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</w:p>
    <w:p w14:paraId="1A887044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</w:tblGrid>
      <w:tr w:rsidR="00374383" w:rsidRPr="000668AF" w14:paraId="13FE0F9F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94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F19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FB8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10.11.2022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E5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10.01.2023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F3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10.11.2023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2261B1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EB3B7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44D52" w14:textId="77777777" w:rsidR="00374383" w:rsidRPr="000668AF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6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271284" w14:textId="77777777" w:rsidR="00374383" w:rsidRPr="000668AF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6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74383" w:rsidRPr="000668AF" w14:paraId="45A78123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0D0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475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E25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69A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4F1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13704F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C76EF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-1,38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F91E9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6B84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-3,59</w:t>
            </w:r>
          </w:p>
        </w:tc>
      </w:tr>
      <w:tr w:rsidR="00374383" w:rsidRPr="000668AF" w14:paraId="11ED19E4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84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12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F8B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2373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837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2379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015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2204F0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84933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160E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BE69C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0,63</w:t>
            </w:r>
          </w:p>
        </w:tc>
      </w:tr>
      <w:tr w:rsidR="00374383" w:rsidRPr="000668AF" w14:paraId="19815AA4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97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E6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162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1407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CC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1408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4FA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C3DEA8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BB78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9C989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613C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4,19</w:t>
            </w:r>
          </w:p>
        </w:tc>
      </w:tr>
      <w:tr w:rsidR="00374383" w:rsidRPr="000668AF" w14:paraId="2A418FA1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29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AE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DC4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177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B6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EF8550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22D5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-8,42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D62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2039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-7,45</w:t>
            </w:r>
          </w:p>
        </w:tc>
      </w:tr>
      <w:tr w:rsidR="00374383" w:rsidRPr="000668AF" w14:paraId="2DDC4CA9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50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B1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E34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FC8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292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8B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DAFAE1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B6436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44B63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F0FC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-1,33</w:t>
            </w:r>
          </w:p>
        </w:tc>
      </w:tr>
      <w:tr w:rsidR="00374383" w:rsidRPr="000668AF" w14:paraId="33BB73AF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84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1B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5DB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641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3C0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638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7B2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BF6AA9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FB1C6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-4,55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D621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857C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-4,99</w:t>
            </w:r>
          </w:p>
        </w:tc>
      </w:tr>
      <w:tr w:rsidR="00374383" w:rsidRPr="000668AF" w14:paraId="5A6662ED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20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8F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7CF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445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363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14D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153A99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9E0C5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CB44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AC207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-1,39</w:t>
            </w:r>
          </w:p>
        </w:tc>
      </w:tr>
      <w:tr w:rsidR="00374383" w:rsidRPr="000668AF" w14:paraId="60C83BAE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4F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90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DCA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245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0B2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A2D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4E449E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5388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858F3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52A6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74383" w:rsidRPr="000668AF" w14:paraId="6296E932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DF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5D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CCA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B9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345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D0F6DD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F672D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-3,05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A0FE9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54E30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-3,79</w:t>
            </w:r>
          </w:p>
        </w:tc>
      </w:tr>
      <w:tr w:rsidR="00374383" w:rsidRPr="000668AF" w14:paraId="436A637E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8F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0C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38E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249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04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102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8C670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5986F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-4,02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B31C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D28CA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-4,02</w:t>
            </w:r>
          </w:p>
        </w:tc>
      </w:tr>
      <w:tr w:rsidR="00374383" w:rsidRPr="000668AF" w14:paraId="17E33324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B28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2D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494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392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07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398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8B8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919D1B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9045D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4C89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0F1A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1,28</w:t>
            </w:r>
          </w:p>
        </w:tc>
      </w:tr>
      <w:tr w:rsidR="00374383" w:rsidRPr="000668AF" w14:paraId="4DB032CA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AA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91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13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E6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187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E8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CD89E0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34423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DD54F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11031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</w:tr>
      <w:tr w:rsidR="00374383" w:rsidRPr="000668AF" w14:paraId="31F25AAC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A6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3C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8A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184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00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16A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08EC4A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1A196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-6,32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E224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85895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-3,26</w:t>
            </w:r>
          </w:p>
        </w:tc>
      </w:tr>
      <w:tr w:rsidR="00374383" w:rsidRPr="000668AF" w14:paraId="41FE2B84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55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DD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35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608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70C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589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55A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278FB0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44069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-3,23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BD21F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CD45D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-6,25</w:t>
            </w:r>
          </w:p>
        </w:tc>
      </w:tr>
      <w:tr w:rsidR="00374383" w:rsidRPr="000668AF" w14:paraId="12D8488C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46F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2D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364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1758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83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DDB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0E0734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B2D8B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-0,92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3186D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E477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-1,93</w:t>
            </w:r>
          </w:p>
        </w:tc>
      </w:tr>
      <w:tr w:rsidR="00374383" w:rsidRPr="000668AF" w14:paraId="22C4D5E7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72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17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E13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839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D8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25F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2096A9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4B185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-3,08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1BA9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91004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-2,50</w:t>
            </w:r>
          </w:p>
        </w:tc>
      </w:tr>
      <w:tr w:rsidR="00374383" w:rsidRPr="000668AF" w14:paraId="6B895F78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4EC02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C2F869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4A4B0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1539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B2E44E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1535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915620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45F5F4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D7A08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36448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F058B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1,49</w:t>
            </w:r>
          </w:p>
        </w:tc>
      </w:tr>
      <w:tr w:rsidR="00374383" w:rsidRPr="000668AF" w14:paraId="447BEA87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CC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49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C8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2385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436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2397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45E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47D6EB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0D1F4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7499A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36F5AE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7,17</w:t>
            </w:r>
          </w:p>
        </w:tc>
      </w:tr>
      <w:tr w:rsidR="00374383" w:rsidRPr="000668AF" w14:paraId="74FF57C5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07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D3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505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57F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9A7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D49904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FF81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-1,27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D422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F09E8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</w:tr>
      <w:tr w:rsidR="00374383" w:rsidRPr="000668AF" w14:paraId="71079D0E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48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7F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Темкинский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7C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C20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A0B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5546C1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37F8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F46D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D6AD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</w:tr>
      <w:tr w:rsidR="00374383" w:rsidRPr="000668AF" w14:paraId="410949DC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6B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23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C31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D65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CB8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23B55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F8B9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-4,55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CBDFC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55862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-3,08</w:t>
            </w:r>
          </w:p>
        </w:tc>
      </w:tr>
      <w:tr w:rsidR="00374383" w:rsidRPr="000668AF" w14:paraId="5464ADD3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AC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D3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747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24F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FDD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4AAAA8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5BD89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6,82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9064B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43D6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6,21</w:t>
            </w:r>
          </w:p>
        </w:tc>
      </w:tr>
      <w:tr w:rsidR="00374383" w:rsidRPr="000668AF" w14:paraId="52613239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8D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3C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181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6E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FAB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4328B7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1DECB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0E083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5DC527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-3,59</w:t>
            </w:r>
          </w:p>
        </w:tc>
      </w:tr>
      <w:tr w:rsidR="00374383" w:rsidRPr="000668AF" w14:paraId="1CBAE219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25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BE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ED4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3E8C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54B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6F2610B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81D32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EC8F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BFF22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-1,30</w:t>
            </w:r>
          </w:p>
        </w:tc>
      </w:tr>
      <w:tr w:rsidR="00374383" w:rsidRPr="000668AF" w14:paraId="4BF34863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79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89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Ярцевский</w:t>
            </w:r>
            <w:proofErr w:type="spellEnd"/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A1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1772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C03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1774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43B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1748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E8184A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CA48E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-1,47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C21D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8AC6A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-1,35</w:t>
            </w:r>
          </w:p>
        </w:tc>
      </w:tr>
      <w:tr w:rsidR="00374383" w:rsidRPr="000668AF" w14:paraId="62D00B29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A64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2A9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0931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524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4E5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C8D3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4DE3E7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0F1FB8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408A12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D9F2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3,63</w:t>
            </w:r>
          </w:p>
        </w:tc>
      </w:tr>
      <w:tr w:rsidR="00374383" w:rsidRPr="000668AF" w14:paraId="7013AE21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C4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23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54E0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20109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2F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20337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57BD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Cs/>
                <w:sz w:val="20"/>
                <w:szCs w:val="20"/>
              </w:rPr>
              <w:t>20202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A078DF5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AE7F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-0,66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C1B56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1A1AA" w14:textId="77777777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</w:tr>
      <w:tr w:rsidR="00374383" w:rsidRPr="000668AF" w14:paraId="449F168B" w14:textId="77777777" w:rsidTr="00374383">
        <w:trPr>
          <w:trHeight w:val="2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347" w14:textId="316D720F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26BB" w14:textId="6847D51E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37478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8E6" w14:textId="26C7BE9C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F02" w14:textId="57E830ED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5A24872" w14:textId="01A9CE2A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8AF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C1F34A" w14:textId="6A56E178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8AF">
              <w:rPr>
                <w:rFonts w:ascii="Times New Roman" w:hAnsi="Times New Roman" w:cs="Times New Roman"/>
                <w:sz w:val="20"/>
                <w:szCs w:val="20"/>
              </w:rPr>
              <w:t>-0,10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9F285C" w14:textId="2214ABFD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68A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DC4064" w14:textId="0E16BD5D" w:rsidR="00374383" w:rsidRPr="00374383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68AF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</w:tbl>
    <w:p w14:paraId="3B929C92" w14:textId="77777777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1CD43" w14:textId="394280C5" w:rsidR="00374383" w:rsidRPr="00FE4D27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D2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E4D27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 янва</w:t>
      </w:r>
      <w:r w:rsidR="00433162">
        <w:rPr>
          <w:rFonts w:ascii="Times New Roman" w:hAnsi="Times New Roman" w:cs="Times New Roman"/>
          <w:sz w:val="24"/>
          <w:szCs w:val="24"/>
        </w:rPr>
        <w:t xml:space="preserve">ря 2023 года по ноябрь 2023 г. увеличилось </w:t>
      </w:r>
      <w:r w:rsidRPr="00FE4D27">
        <w:rPr>
          <w:rFonts w:ascii="Times New Roman" w:hAnsi="Times New Roman" w:cs="Times New Roman"/>
          <w:sz w:val="24"/>
          <w:szCs w:val="24"/>
        </w:rPr>
        <w:t xml:space="preserve"> на </w:t>
      </w:r>
      <w:r w:rsidR="00433162">
        <w:rPr>
          <w:rFonts w:ascii="Times New Roman" w:hAnsi="Times New Roman" w:cs="Times New Roman"/>
          <w:sz w:val="24"/>
          <w:szCs w:val="24"/>
        </w:rPr>
        <w:t>1,76</w:t>
      </w:r>
      <w:r w:rsidRPr="00FE4D27">
        <w:rPr>
          <w:rFonts w:ascii="Times New Roman" w:hAnsi="Times New Roman" w:cs="Times New Roman"/>
          <w:sz w:val="24"/>
          <w:szCs w:val="24"/>
        </w:rPr>
        <w:t>% (</w:t>
      </w:r>
      <w:r w:rsidR="00433162">
        <w:rPr>
          <w:rFonts w:ascii="Times New Roman" w:hAnsi="Times New Roman" w:cs="Times New Roman"/>
          <w:sz w:val="24"/>
          <w:szCs w:val="24"/>
        </w:rPr>
        <w:t>27</w:t>
      </w:r>
      <w:r w:rsidRPr="00FE4D27">
        <w:rPr>
          <w:rFonts w:ascii="Times New Roman" w:hAnsi="Times New Roman" w:cs="Times New Roman"/>
          <w:sz w:val="24"/>
          <w:szCs w:val="24"/>
        </w:rPr>
        <w:t xml:space="preserve"> единиц).</w:t>
      </w:r>
    </w:p>
    <w:p w14:paraId="360C29DB" w14:textId="77777777" w:rsidR="00374383" w:rsidRPr="00A35FD1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BF6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</w:t>
      </w:r>
      <w:r w:rsidRPr="00C224D3">
        <w:rPr>
          <w:rFonts w:ascii="Times New Roman" w:hAnsi="Times New Roman" w:cs="Times New Roman"/>
          <w:sz w:val="24"/>
          <w:szCs w:val="24"/>
        </w:rPr>
        <w:t xml:space="preserve">муниципальных образований Смоленской области с </w:t>
      </w:r>
      <w:r w:rsidRPr="00A35FD1">
        <w:rPr>
          <w:rFonts w:ascii="Times New Roman" w:hAnsi="Times New Roman" w:cs="Times New Roman"/>
          <w:sz w:val="24"/>
          <w:szCs w:val="24"/>
        </w:rPr>
        <w:t xml:space="preserve">начала 2023 года количество субъектов МСП увеличилось в 10 (Смоленский +159 ед. или 6,63%; Гагаринский +58 ед. или 4,12%;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+27 ед. или 1,76%;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+12 ед. или 6,82%; Вяземский +9 ед. или 0,38%;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Монастырщинский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+6 ед. или 3,21%;</w:t>
      </w:r>
      <w:proofErr w:type="gramEnd"/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FD1">
        <w:rPr>
          <w:rFonts w:ascii="Times New Roman" w:hAnsi="Times New Roman" w:cs="Times New Roman"/>
          <w:sz w:val="24"/>
          <w:szCs w:val="24"/>
        </w:rPr>
        <w:t xml:space="preserve">Демидовский +4 ед. или 1,37%;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+1 ед. или 0,74%;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+3 ед. или 1,24% районы и г. Десногорск +3 ед. или 0,56%); в остальных 17 районах отмечено снижение числа зарегистрированных субъектов МСП.</w:t>
      </w:r>
      <w:proofErr w:type="gramEnd"/>
      <w:r w:rsidRPr="00A35FD1">
        <w:rPr>
          <w:rFonts w:ascii="Times New Roman" w:hAnsi="Times New Roman" w:cs="Times New Roman"/>
          <w:sz w:val="24"/>
          <w:szCs w:val="24"/>
        </w:rPr>
        <w:t xml:space="preserve"> Наибольшее снижение – в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(-8 ед. или 8,42%),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(-12 ед. ил 4,55), </w:t>
      </w:r>
      <w:proofErr w:type="gramStart"/>
      <w:r w:rsidRPr="00A35FD1">
        <w:rPr>
          <w:rFonts w:ascii="Times New Roman" w:hAnsi="Times New Roman" w:cs="Times New Roman"/>
          <w:sz w:val="24"/>
          <w:szCs w:val="24"/>
        </w:rPr>
        <w:t>Дорогобужском</w:t>
      </w:r>
      <w:proofErr w:type="gramEnd"/>
      <w:r w:rsidRPr="00A35FD1">
        <w:rPr>
          <w:rFonts w:ascii="Times New Roman" w:hAnsi="Times New Roman" w:cs="Times New Roman"/>
          <w:sz w:val="24"/>
          <w:szCs w:val="24"/>
        </w:rPr>
        <w:t xml:space="preserve"> (-29 ед. ил 4,55%),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(-10 ед. или 4,02%),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(-19 ед. или 3,23%) и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(-26 ед. или 3,08%) районах.</w:t>
      </w:r>
    </w:p>
    <w:p w14:paraId="0BAE8EFA" w14:textId="77777777" w:rsidR="00374383" w:rsidRPr="00A35FD1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AFCD2F" w14:textId="77777777" w:rsidR="00374383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5C022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8D5DC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F01788" w:rsidRPr="00F01788" w14:paraId="19FF04DA" w14:textId="77777777" w:rsidTr="00AB5444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6B432AFC" w:rsidR="00CF6E7A" w:rsidRPr="00B637B9" w:rsidRDefault="00433162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</w:t>
            </w:r>
            <w:r w:rsidR="00CF6E7A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1B634186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40CA4E0D" w:rsidR="00CF6E7A" w:rsidRPr="00B637B9" w:rsidRDefault="00CF6E7A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33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D166CA" w:rsidRPr="00F01788" w14:paraId="57E58377" w14:textId="77777777" w:rsidTr="00AB5444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6D5C90D0" w:rsidR="00D166CA" w:rsidRPr="00160A5C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6A7C0F40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0C71946C" w:rsidR="00D166CA" w:rsidRPr="00160A5C" w:rsidRDefault="00433162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2B9FEBC4" w:rsidR="00D166CA" w:rsidRPr="00160A5C" w:rsidRDefault="00433162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3A963850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-2,60%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0C343332" w:rsidR="00D166CA" w:rsidRPr="00160A5C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747DC066" w:rsidR="00D166CA" w:rsidRPr="00160A5C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-2,20%</w:t>
            </w:r>
          </w:p>
        </w:tc>
      </w:tr>
      <w:tr w:rsidR="00D166CA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C446393" w:rsidR="00D166CA" w:rsidRPr="00DB681E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054A2AE0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7C57A535" w:rsidR="00D166CA" w:rsidRPr="00DB681E" w:rsidRDefault="00433162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61ADA967" w:rsidR="00D166CA" w:rsidRPr="00DB681E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331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276B7377" w:rsidR="00D166CA" w:rsidRPr="00DB681E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33162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48847295" w:rsidR="00D166CA" w:rsidRPr="00DB681E" w:rsidRDefault="00433162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6BBC519E" w:rsidR="00D166CA" w:rsidRPr="00DB681E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33162">
              <w:rPr>
                <w:rFonts w:ascii="Times New Roman" w:eastAsia="Times New Roman" w:hAnsi="Times New Roman" w:cs="Times New Roman"/>
                <w:lang w:eastAsia="ru-RU"/>
              </w:rPr>
              <w:t>2,63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31A5F796" w:rsidR="00D166CA" w:rsidRPr="00DB681E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61AF7A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4969E860" w:rsidR="00D166CA" w:rsidRPr="00DB681E" w:rsidRDefault="00433162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39031C6D" w:rsidR="00D166CA" w:rsidRPr="00DB681E" w:rsidRDefault="002D633E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2A29E96A" w:rsidR="00D166CA" w:rsidRPr="00DB681E" w:rsidRDefault="002D633E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6B95E833" w:rsidR="00D166CA" w:rsidRPr="00DB681E" w:rsidRDefault="00433162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732FC155" w:rsidR="00D166CA" w:rsidRPr="00DB681E" w:rsidRDefault="00433162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2D63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7EAF9CF7" w:rsidR="00D166CA" w:rsidRPr="00DB681E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2887D3D0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F0489F5" w:rsidR="00D166CA" w:rsidRPr="00DB681E" w:rsidRDefault="00433162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476665A0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503ADCFF" w:rsidR="00D166CA" w:rsidRPr="00DB681E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+14,30%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0F60CA26" w:rsidR="00D166CA" w:rsidRPr="00DB681E" w:rsidRDefault="00433162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75119934" w:rsidR="00D166CA" w:rsidRPr="00DB681E" w:rsidRDefault="00433162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  <w:r w:rsidR="002D63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4A90FAE4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18AE5D13" w:rsidR="00D166CA" w:rsidRPr="00160A5C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2B1ED087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42155AA8" w:rsidR="00D166CA" w:rsidRPr="00160A5C" w:rsidRDefault="00433162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3E08B598" w:rsidR="00D166CA" w:rsidRPr="00160A5C" w:rsidRDefault="00E53BA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27AF6C99" w:rsidR="00D166CA" w:rsidRPr="00160A5C" w:rsidRDefault="00E53BA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+3,46</w:t>
            </w:r>
            <w:r w:rsidR="002D633E"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03A81985" w:rsidR="00D166CA" w:rsidRPr="00160A5C" w:rsidRDefault="00E53BA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4037A9A7" w:rsidR="00D166CA" w:rsidRPr="00160A5C" w:rsidRDefault="00E53BA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+3,17</w:t>
            </w:r>
            <w:r w:rsidR="002D633E"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166CA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CA920F4" w:rsidR="00D166CA" w:rsidRPr="00160A5C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037DFC28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6A2C0844" w:rsidR="00D166CA" w:rsidRPr="00160A5C" w:rsidRDefault="00433162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5DF0855B" w:rsidR="00D166CA" w:rsidRPr="00160A5C" w:rsidRDefault="00E53BAC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0615784C" w:rsidR="00D166CA" w:rsidRPr="00160A5C" w:rsidRDefault="002D633E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E53BAC">
              <w:rPr>
                <w:rFonts w:ascii="Times New Roman" w:eastAsia="Times New Roman" w:hAnsi="Times New Roman" w:cs="Times New Roman"/>
                <w:lang w:eastAsia="ru-RU"/>
              </w:rPr>
              <w:t>3,49</w:t>
            </w: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6C8D7BFD" w:rsidR="00D166CA" w:rsidRPr="00160A5C" w:rsidRDefault="00E53BA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21FCB111" w:rsidR="002D633E" w:rsidRPr="00160A5C" w:rsidRDefault="002D633E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E53BAC">
              <w:rPr>
                <w:rFonts w:ascii="Times New Roman" w:eastAsia="Times New Roman" w:hAnsi="Times New Roman" w:cs="Times New Roman"/>
                <w:lang w:eastAsia="ru-RU"/>
              </w:rPr>
              <w:t>3,29</w:t>
            </w: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2C71F50E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30415675" w:rsidR="00D166CA" w:rsidRPr="00160A5C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7AD35490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16FBD617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4FF81B05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4DC91453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42B14199" w:rsidR="00D166CA" w:rsidRPr="00160A5C" w:rsidRDefault="00E53BA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01CF16B" w:rsidR="00D166CA" w:rsidRPr="00160A5C" w:rsidRDefault="00E53BA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2D633E" w:rsidRPr="00160A5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035DC132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7CA5DEC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5650DFC9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53E11B22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295B3E3D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4B5C1402" w:rsidR="00D166CA" w:rsidRPr="00160A5C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59F169FB" w:rsidR="00D166CA" w:rsidRPr="00160A5C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D166CA" w:rsidRPr="00F01788" w14:paraId="6FCF6BCD" w14:textId="77777777" w:rsidTr="00AB5444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7298B2B4" w:rsidR="00D166CA" w:rsidRPr="00160A5C" w:rsidRDefault="00E53BAC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63DD84B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6B7C897F" w:rsidR="002D633E" w:rsidRPr="00160A5C" w:rsidRDefault="00E53BAC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1597755C" w:rsidR="00D166CA" w:rsidRPr="00160A5C" w:rsidRDefault="00E53BA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+27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23D0BBE6" w:rsidR="00D166CA" w:rsidRPr="00160A5C" w:rsidRDefault="00E53BAC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+1,80</w:t>
            </w:r>
            <w:r w:rsidR="002D633E"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3AAC8942" w:rsidR="00D166CA" w:rsidRPr="00160A5C" w:rsidRDefault="00E53BA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+23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081A7FE6" w:rsidR="00D166CA" w:rsidRPr="00160A5C" w:rsidRDefault="00E53BA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+1,49</w:t>
            </w:r>
            <w:r w:rsidR="009A49A8"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4DA4D867" w14:textId="77777777" w:rsidR="00023068" w:rsidRPr="00F01788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13DD0" w14:textId="3CBBC942" w:rsidR="00A94B42" w:rsidRPr="008E1FD1" w:rsidRDefault="00B607BE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Как видно из пр</w:t>
      </w:r>
      <w:r w:rsidR="009A49A8">
        <w:rPr>
          <w:rFonts w:ascii="Times New Roman" w:hAnsi="Times New Roman" w:cs="Times New Roman"/>
          <w:sz w:val="24"/>
          <w:szCs w:val="24"/>
        </w:rPr>
        <w:t xml:space="preserve">едставленной таблицы, за январь - </w:t>
      </w:r>
      <w:r w:rsidR="00E53BAC">
        <w:rPr>
          <w:rFonts w:ascii="Times New Roman" w:hAnsi="Times New Roman" w:cs="Times New Roman"/>
          <w:sz w:val="24"/>
          <w:szCs w:val="24"/>
        </w:rPr>
        <w:t>ноябрь</w:t>
      </w:r>
      <w:r w:rsidRPr="008E1FD1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B03B49" w:rsidRPr="008E1FD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B4174" w:rsidRPr="008E1FD1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proofErr w:type="spellStart"/>
      <w:r w:rsidR="00DB681E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="007B4174" w:rsidRPr="008E1FD1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Pr="008E1FD1">
        <w:rPr>
          <w:rFonts w:ascii="Times New Roman" w:hAnsi="Times New Roman" w:cs="Times New Roman"/>
          <w:sz w:val="24"/>
          <w:szCs w:val="24"/>
        </w:rPr>
        <w:t>уменьшилось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E53BAC">
        <w:rPr>
          <w:rFonts w:ascii="Times New Roman" w:hAnsi="Times New Roman" w:cs="Times New Roman"/>
          <w:sz w:val="24"/>
          <w:szCs w:val="24"/>
        </w:rPr>
        <w:t>9</w:t>
      </w:r>
      <w:r w:rsidR="00D166CA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 xml:space="preserve"> 2,60</w:t>
      </w:r>
      <w:r w:rsidR="007B4174" w:rsidRPr="008E1FD1">
        <w:rPr>
          <w:rFonts w:ascii="Times New Roman" w:hAnsi="Times New Roman" w:cs="Times New Roman"/>
          <w:sz w:val="24"/>
          <w:szCs w:val="24"/>
        </w:rPr>
        <w:t>%</w:t>
      </w:r>
      <w:r w:rsidR="00DB681E">
        <w:rPr>
          <w:rFonts w:ascii="Times New Roman" w:hAnsi="Times New Roman" w:cs="Times New Roman"/>
          <w:sz w:val="24"/>
          <w:szCs w:val="24"/>
        </w:rPr>
        <w:t xml:space="preserve">), </w:t>
      </w:r>
      <w:r w:rsidRPr="008E1FD1">
        <w:rPr>
          <w:rFonts w:ascii="Times New Roman" w:hAnsi="Times New Roman" w:cs="Times New Roman"/>
          <w:sz w:val="24"/>
          <w:szCs w:val="24"/>
        </w:rPr>
        <w:t xml:space="preserve">количество ИП – МСП </w:t>
      </w:r>
      <w:r w:rsidR="00E53BAC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E53BAC">
        <w:rPr>
          <w:rFonts w:ascii="Times New Roman" w:hAnsi="Times New Roman" w:cs="Times New Roman"/>
          <w:sz w:val="24"/>
          <w:szCs w:val="24"/>
        </w:rPr>
        <w:t>36</w:t>
      </w:r>
      <w:r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>или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на</w:t>
      </w:r>
      <w:r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E53BAC">
        <w:rPr>
          <w:rFonts w:ascii="Times New Roman" w:hAnsi="Times New Roman" w:cs="Times New Roman"/>
          <w:sz w:val="24"/>
          <w:szCs w:val="24"/>
        </w:rPr>
        <w:t>3,46</w:t>
      </w:r>
      <w:r w:rsidRPr="008E1FD1">
        <w:rPr>
          <w:rFonts w:ascii="Times New Roman" w:hAnsi="Times New Roman" w:cs="Times New Roman"/>
          <w:sz w:val="24"/>
          <w:szCs w:val="24"/>
        </w:rPr>
        <w:t>%</w:t>
      </w:r>
      <w:r w:rsidR="007B4174" w:rsidRPr="008E1FD1">
        <w:rPr>
          <w:rFonts w:ascii="Times New Roman" w:hAnsi="Times New Roman" w:cs="Times New Roman"/>
          <w:sz w:val="24"/>
          <w:szCs w:val="24"/>
        </w:rPr>
        <w:t>)</w:t>
      </w:r>
      <w:r w:rsidRPr="008E1FD1">
        <w:rPr>
          <w:rFonts w:ascii="Times New Roman" w:hAnsi="Times New Roman" w:cs="Times New Roman"/>
          <w:sz w:val="24"/>
          <w:szCs w:val="24"/>
        </w:rPr>
        <w:t>.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6699CA53" w:rsidR="00B51FDB" w:rsidRDefault="008B52C2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З</w:t>
      </w:r>
      <w:r w:rsidR="000563A8" w:rsidRPr="008E1FD1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прошедший календарный год (с </w:t>
      </w:r>
      <w:r w:rsidR="00514666">
        <w:rPr>
          <w:rFonts w:ascii="Times New Roman" w:hAnsi="Times New Roman" w:cs="Times New Roman"/>
          <w:sz w:val="24"/>
          <w:szCs w:val="24"/>
        </w:rPr>
        <w:t>ноября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2022 г. по </w:t>
      </w:r>
      <w:r w:rsidR="00514666">
        <w:rPr>
          <w:rFonts w:ascii="Times New Roman" w:hAnsi="Times New Roman" w:cs="Times New Roman"/>
          <w:sz w:val="24"/>
          <w:szCs w:val="24"/>
        </w:rPr>
        <w:t>ноябрь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9656A2" w:rsidRPr="008E1FD1">
        <w:rPr>
          <w:rFonts w:ascii="Times New Roman" w:hAnsi="Times New Roman" w:cs="Times New Roman"/>
          <w:sz w:val="24"/>
          <w:szCs w:val="24"/>
        </w:rPr>
        <w:t>2023 г.</w:t>
      </w:r>
      <w:r w:rsidRPr="008E1FD1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B607BE" w:rsidRPr="008E1FD1">
        <w:rPr>
          <w:rFonts w:ascii="Times New Roman" w:hAnsi="Times New Roman" w:cs="Times New Roman"/>
          <w:sz w:val="24"/>
          <w:szCs w:val="24"/>
        </w:rPr>
        <w:t>сниже</w:t>
      </w:r>
      <w:r w:rsidR="00D362FE" w:rsidRPr="008E1FD1">
        <w:rPr>
          <w:rFonts w:ascii="Times New Roman" w:hAnsi="Times New Roman" w:cs="Times New Roman"/>
          <w:sz w:val="24"/>
          <w:szCs w:val="24"/>
        </w:rPr>
        <w:t>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числа ЮЛ на </w:t>
      </w:r>
      <w:r w:rsidR="009A49A8">
        <w:rPr>
          <w:rFonts w:ascii="Times New Roman" w:hAnsi="Times New Roman" w:cs="Times New Roman"/>
          <w:sz w:val="24"/>
          <w:szCs w:val="24"/>
        </w:rPr>
        <w:t>11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>2,2</w:t>
      </w:r>
      <w:r w:rsidR="00271B41">
        <w:rPr>
          <w:rFonts w:ascii="Times New Roman" w:hAnsi="Times New Roman" w:cs="Times New Roman"/>
          <w:sz w:val="24"/>
          <w:szCs w:val="24"/>
        </w:rPr>
        <w:t>0</w:t>
      </w:r>
      <w:r w:rsidR="00D362FE" w:rsidRPr="008E1FD1">
        <w:rPr>
          <w:rFonts w:ascii="Times New Roman" w:hAnsi="Times New Roman" w:cs="Times New Roman"/>
          <w:sz w:val="24"/>
          <w:szCs w:val="24"/>
        </w:rPr>
        <w:t>%) и одновременн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ое </w:t>
      </w:r>
      <w:r w:rsidR="00271B41">
        <w:rPr>
          <w:rFonts w:ascii="Times New Roman" w:hAnsi="Times New Roman" w:cs="Times New Roman"/>
          <w:sz w:val="24"/>
          <w:szCs w:val="24"/>
        </w:rPr>
        <w:t>увеличение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271B41">
        <w:rPr>
          <w:rFonts w:ascii="Times New Roman" w:hAnsi="Times New Roman" w:cs="Times New Roman"/>
          <w:sz w:val="24"/>
          <w:szCs w:val="24"/>
        </w:rPr>
        <w:t>численности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ИП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514666">
        <w:rPr>
          <w:rFonts w:ascii="Times New Roman" w:hAnsi="Times New Roman" w:cs="Times New Roman"/>
          <w:sz w:val="24"/>
          <w:szCs w:val="24"/>
        </w:rPr>
        <w:t>34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514666">
        <w:rPr>
          <w:rFonts w:ascii="Times New Roman" w:hAnsi="Times New Roman" w:cs="Times New Roman"/>
          <w:sz w:val="24"/>
          <w:szCs w:val="24"/>
        </w:rPr>
        <w:t>3,17</w:t>
      </w:r>
      <w:r w:rsidR="007B4174" w:rsidRPr="008E1FD1">
        <w:rPr>
          <w:rFonts w:ascii="Times New Roman" w:hAnsi="Times New Roman" w:cs="Times New Roman"/>
          <w:sz w:val="24"/>
          <w:szCs w:val="24"/>
        </w:rPr>
        <w:t>%)</w:t>
      </w:r>
      <w:r w:rsidR="00271B41">
        <w:rPr>
          <w:rFonts w:ascii="Times New Roman" w:hAnsi="Times New Roman" w:cs="Times New Roman"/>
          <w:sz w:val="24"/>
          <w:szCs w:val="24"/>
        </w:rPr>
        <w:t>. Всего</w:t>
      </w:r>
      <w:r w:rsidR="009A49A8">
        <w:rPr>
          <w:rFonts w:ascii="Times New Roman" w:hAnsi="Times New Roman" w:cs="Times New Roman"/>
          <w:sz w:val="24"/>
          <w:szCs w:val="24"/>
        </w:rPr>
        <w:t xml:space="preserve">  субъектов МСП увеличилось на </w:t>
      </w:r>
      <w:r w:rsidR="00514666">
        <w:rPr>
          <w:rFonts w:ascii="Times New Roman" w:hAnsi="Times New Roman" w:cs="Times New Roman"/>
          <w:sz w:val="24"/>
          <w:szCs w:val="24"/>
        </w:rPr>
        <w:t>23</w:t>
      </w:r>
      <w:r w:rsidR="00271B41">
        <w:rPr>
          <w:rFonts w:ascii="Times New Roman" w:hAnsi="Times New Roman" w:cs="Times New Roman"/>
          <w:sz w:val="24"/>
          <w:szCs w:val="24"/>
        </w:rPr>
        <w:t xml:space="preserve"> ед. (или </w:t>
      </w:r>
      <w:r w:rsidR="00514666">
        <w:rPr>
          <w:rFonts w:ascii="Times New Roman" w:hAnsi="Times New Roman" w:cs="Times New Roman"/>
          <w:sz w:val="24"/>
          <w:szCs w:val="24"/>
        </w:rPr>
        <w:t>1,49</w:t>
      </w:r>
      <w:r w:rsidR="00271B41">
        <w:rPr>
          <w:rFonts w:ascii="Times New Roman" w:hAnsi="Times New Roman" w:cs="Times New Roman"/>
          <w:sz w:val="24"/>
          <w:szCs w:val="24"/>
        </w:rPr>
        <w:t>%).</w:t>
      </w:r>
    </w:p>
    <w:p w14:paraId="0455F4C2" w14:textId="77777777" w:rsidR="00D166CA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41337" w14:textId="77777777" w:rsidR="00D166CA" w:rsidRPr="00271B41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6CA" w:rsidRPr="00271B41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17D778E0" w:rsidR="00271B41" w:rsidRP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10.11.2022-10.11</w:t>
      </w:r>
      <w:r w:rsidRPr="00271B41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5BC56C08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96D8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C7E1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852E4" w14:textId="3FCE4F6A" w:rsidR="002640A6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61240" wp14:editId="67A1BB16">
            <wp:extent cx="8770288" cy="3760967"/>
            <wp:effectExtent l="0" t="0" r="120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CB6362" w14:textId="77777777" w:rsidR="007F2614" w:rsidRPr="00F35CC0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BB093D9" w14:textId="2A7ED167" w:rsidR="007F2614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2AC6" w14:textId="77777777" w:rsidR="00771878" w:rsidRPr="00F35CC0" w:rsidRDefault="00771878" w:rsidP="0077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164EF88" w14:textId="2F44FD2E" w:rsidR="003145DA" w:rsidRDefault="00771878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514666">
        <w:rPr>
          <w:rFonts w:ascii="Times New Roman" w:hAnsi="Times New Roman" w:cs="Times New Roman"/>
          <w:sz w:val="24"/>
          <w:szCs w:val="24"/>
        </w:rPr>
        <w:t>ноября</w:t>
      </w:r>
      <w:r w:rsidRPr="00F35CC0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AD2AB3">
        <w:rPr>
          <w:rFonts w:ascii="Times New Roman" w:hAnsi="Times New Roman" w:cs="Times New Roman"/>
          <w:sz w:val="24"/>
          <w:szCs w:val="24"/>
        </w:rPr>
        <w:t>ноябрь</w:t>
      </w:r>
      <w:bookmarkStart w:id="0" w:name="_GoBack"/>
      <w:bookmarkEnd w:id="0"/>
      <w:r w:rsidR="00C43A6D">
        <w:rPr>
          <w:rFonts w:ascii="Times New Roman" w:hAnsi="Times New Roman" w:cs="Times New Roman"/>
          <w:sz w:val="24"/>
          <w:szCs w:val="24"/>
        </w:rPr>
        <w:t xml:space="preserve"> 2023 г.)  была значимо положительной с </w:t>
      </w:r>
      <w:r w:rsidR="00514666">
        <w:rPr>
          <w:rFonts w:ascii="Times New Roman" w:hAnsi="Times New Roman" w:cs="Times New Roman"/>
          <w:sz w:val="24"/>
          <w:szCs w:val="24"/>
        </w:rPr>
        <w:t>ноября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C43A6D">
        <w:rPr>
          <w:rFonts w:ascii="Times New Roman" w:hAnsi="Times New Roman" w:cs="Times New Roman"/>
          <w:sz w:val="24"/>
          <w:szCs w:val="24"/>
        </w:rPr>
        <w:t xml:space="preserve"> 2022 по декабрь 2022, а также с января 2023</w:t>
      </w:r>
      <w:r w:rsidR="00191A05">
        <w:rPr>
          <w:rFonts w:ascii="Times New Roman" w:hAnsi="Times New Roman" w:cs="Times New Roman"/>
          <w:sz w:val="24"/>
          <w:szCs w:val="24"/>
        </w:rPr>
        <w:t xml:space="preserve"> г.</w:t>
      </w:r>
      <w:r w:rsidR="00C43A6D">
        <w:rPr>
          <w:rFonts w:ascii="Times New Roman" w:hAnsi="Times New Roman" w:cs="Times New Roman"/>
          <w:sz w:val="24"/>
          <w:szCs w:val="24"/>
        </w:rPr>
        <w:t xml:space="preserve"> по </w:t>
      </w:r>
      <w:r w:rsidR="00B97FB9">
        <w:rPr>
          <w:rFonts w:ascii="Times New Roman" w:hAnsi="Times New Roman" w:cs="Times New Roman"/>
          <w:sz w:val="24"/>
          <w:szCs w:val="24"/>
        </w:rPr>
        <w:t>июнь</w:t>
      </w:r>
      <w:r w:rsidR="00C43A6D">
        <w:rPr>
          <w:rFonts w:ascii="Times New Roman" w:hAnsi="Times New Roman" w:cs="Times New Roman"/>
          <w:sz w:val="24"/>
          <w:szCs w:val="24"/>
        </w:rPr>
        <w:t xml:space="preserve"> 2023</w:t>
      </w:r>
      <w:r w:rsidR="00B97FB9">
        <w:rPr>
          <w:rFonts w:ascii="Times New Roman" w:hAnsi="Times New Roman" w:cs="Times New Roman"/>
          <w:sz w:val="24"/>
          <w:szCs w:val="24"/>
        </w:rPr>
        <w:t xml:space="preserve">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С июня 2023 по июль 2023 отмечено снижение, а с июля 2023 по </w:t>
      </w:r>
      <w:r w:rsidR="00514666">
        <w:rPr>
          <w:rFonts w:ascii="Times New Roman" w:hAnsi="Times New Roman" w:cs="Times New Roman"/>
          <w:sz w:val="24"/>
          <w:szCs w:val="24"/>
        </w:rPr>
        <w:t>ноябрь</w:t>
      </w:r>
      <w:proofErr w:type="gramEnd"/>
      <w:r w:rsidR="003145DA">
        <w:rPr>
          <w:rFonts w:ascii="Times New Roman" w:hAnsi="Times New Roman" w:cs="Times New Roman"/>
          <w:sz w:val="24"/>
          <w:szCs w:val="24"/>
        </w:rPr>
        <w:t xml:space="preserve"> 2023 динамика положительная.</w:t>
      </w:r>
    </w:p>
    <w:p w14:paraId="4897CE27" w14:textId="505059EA" w:rsidR="002C257D" w:rsidRPr="00F35CC0" w:rsidRDefault="00191A05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в течение года имела ровную положительную динамику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периода с июня </w:t>
      </w:r>
      <w:r w:rsidRPr="00191A05">
        <w:rPr>
          <w:rFonts w:ascii="Times New Roman" w:hAnsi="Times New Roman" w:cs="Times New Roman"/>
          <w:sz w:val="24"/>
          <w:szCs w:val="24"/>
        </w:rPr>
        <w:t>2023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по </w:t>
      </w:r>
      <w:r w:rsidR="00514666">
        <w:rPr>
          <w:rFonts w:ascii="Times New Roman" w:hAnsi="Times New Roman" w:cs="Times New Roman"/>
          <w:sz w:val="24"/>
          <w:szCs w:val="24"/>
        </w:rPr>
        <w:t>ноябрь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  <w:r w:rsidRPr="00191A05">
        <w:rPr>
          <w:rFonts w:ascii="Times New Roman" w:hAnsi="Times New Roman" w:cs="Times New Roman"/>
          <w:sz w:val="24"/>
          <w:szCs w:val="24"/>
        </w:rPr>
        <w:t xml:space="preserve"> - в силу специфики работы Единого реестра МСП в этом месяце отмечено существенное снижение числа как ИП, так и ЮЛ.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lastRenderedPageBreak/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140B86A2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AD2AB3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10.11</w:t>
      </w:r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>.2023)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36861905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920B0" w14:textId="78D199FA" w:rsidR="003639BD" w:rsidRPr="0082098C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8C">
        <w:rPr>
          <w:rFonts w:ascii="Times New Roman" w:hAnsi="Times New Roman" w:cs="Times New Roman"/>
          <w:sz w:val="24"/>
          <w:szCs w:val="24"/>
        </w:rPr>
        <w:t xml:space="preserve">За </w:t>
      </w:r>
      <w:r w:rsidR="001331F9" w:rsidRPr="0082098C">
        <w:rPr>
          <w:rFonts w:ascii="Times New Roman" w:hAnsi="Times New Roman" w:cs="Times New Roman"/>
          <w:sz w:val="24"/>
          <w:szCs w:val="24"/>
        </w:rPr>
        <w:t>период с</w:t>
      </w:r>
      <w:r w:rsidR="00F4603F" w:rsidRPr="0082098C">
        <w:rPr>
          <w:rFonts w:ascii="Times New Roman" w:hAnsi="Times New Roman" w:cs="Times New Roman"/>
          <w:sz w:val="24"/>
          <w:szCs w:val="24"/>
        </w:rPr>
        <w:t xml:space="preserve"> </w:t>
      </w:r>
      <w:r w:rsidR="00F502EA">
        <w:rPr>
          <w:rFonts w:ascii="Times New Roman" w:hAnsi="Times New Roman" w:cs="Times New Roman"/>
          <w:b/>
          <w:bCs/>
          <w:sz w:val="24"/>
          <w:szCs w:val="24"/>
        </w:rPr>
        <w:t>10.11</w:t>
      </w:r>
      <w:r w:rsidR="009146F0" w:rsidRPr="0082098C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F502EA">
        <w:rPr>
          <w:rFonts w:ascii="Times New Roman" w:hAnsi="Times New Roman" w:cs="Times New Roman"/>
          <w:b/>
          <w:bCs/>
          <w:sz w:val="24"/>
          <w:szCs w:val="24"/>
        </w:rPr>
        <w:t xml:space="preserve"> по 10.11</w:t>
      </w:r>
      <w:r w:rsidR="00F4603F" w:rsidRPr="0082098C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032A9B" w:rsidRPr="0082098C">
        <w:rPr>
          <w:rFonts w:ascii="Times New Roman" w:hAnsi="Times New Roman" w:cs="Times New Roman"/>
          <w:sz w:val="24"/>
          <w:szCs w:val="24"/>
        </w:rPr>
        <w:t xml:space="preserve"> </w:t>
      </w:r>
      <w:r w:rsidR="00DF3164" w:rsidRPr="0082098C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82098C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D00DFD" w14:textId="77777777" w:rsidR="00B51FDB" w:rsidRPr="0082098C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66C864" w14:textId="4FADAF88" w:rsidR="00052701" w:rsidRPr="0082098C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Таблица 4. Структура малого и среднего предпринимательства</w:t>
      </w:r>
    </w:p>
    <w:p w14:paraId="2E0965F7" w14:textId="5C5C419C" w:rsidR="00F4603F" w:rsidRPr="0082098C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  <w:r w:rsidR="00F4603F" w:rsidRPr="0082098C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proofErr w:type="spellStart"/>
      <w:r w:rsidR="00A717E3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="00F4603F" w:rsidRPr="0082098C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</w:p>
    <w:p w14:paraId="1C94286F" w14:textId="39996E6D" w:rsidR="00052701" w:rsidRPr="0082098C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1134"/>
        <w:gridCol w:w="1133"/>
        <w:gridCol w:w="1360"/>
        <w:gridCol w:w="1240"/>
      </w:tblGrid>
      <w:tr w:rsidR="00397C0B" w:rsidRPr="00397C0B" w14:paraId="19BB002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14:paraId="329E6996" w14:textId="50332F85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57776" w14:textId="2877179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E04A6C9" w14:textId="65558CA3" w:rsidR="00F4603F" w:rsidRPr="00397C0B" w:rsidRDefault="00F502EA" w:rsidP="0039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</w:t>
            </w:r>
            <w:r w:rsidR="00F4603F"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7F3A59" w14:textId="23A1EDB9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EE4431" w14:textId="52D4D26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97C0B" w:rsidRPr="00397C0B" w14:paraId="4D8F9F58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14:paraId="37BC923E" w14:textId="19E0D055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3255F" w14:textId="60A50CC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2FD86FA" w14:textId="36E89F43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32FFA03" w14:textId="1532AD2D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973316" w14:textId="542A5709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97C0B" w:rsidRPr="00397C0B" w14:paraId="6A645083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6F0B9495" w14:textId="17BA131A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01376" w14:textId="2FE1551A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D076F1B" w14:textId="7E009039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13E4577" w14:textId="235AD4D6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FB93DD" w14:textId="6C12AC4E" w:rsidR="0082098C" w:rsidRPr="00397C0B" w:rsidRDefault="007A391F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-12,50</w:t>
            </w:r>
            <w:r w:rsidR="001A4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97C0B" w:rsidRPr="00397C0B" w14:paraId="2244740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CD9F0F1" w14:textId="31C3C74E" w:rsidR="0082098C" w:rsidRPr="000D5FB0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B0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FCFAA9" w14:textId="4817A604" w:rsidR="0082098C" w:rsidRPr="00AD2AB3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728E635" w14:textId="47C5B72F" w:rsidR="0082098C" w:rsidRPr="00AD2AB3" w:rsidRDefault="003145DA" w:rsidP="006C2B97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7145DAB" w14:textId="6EA3E5EA" w:rsidR="0082098C" w:rsidRPr="00AD2AB3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5A1781" w14:textId="222E25A1" w:rsidR="0082098C" w:rsidRPr="00AD2AB3" w:rsidRDefault="0044385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+66,67</w:t>
            </w:r>
            <w:r w:rsidR="001A4136" w:rsidRPr="00AD2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97C0B" w:rsidRPr="00397C0B" w14:paraId="7F257D11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DAE4297" w14:textId="4293DD85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D4B7C" w14:textId="0FC7FFC3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785A977" w14:textId="31172ECE" w:rsidR="0082098C" w:rsidRPr="00397C0B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DC316C5" w14:textId="0040F59C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4D438F" w14:textId="42E21D2E" w:rsidR="0082098C" w:rsidRPr="00397C0B" w:rsidRDefault="006C2B97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0.00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77C1B3D9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3FBE477" w14:textId="1628C557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89295" w14:textId="5CABDFB4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99C2070" w14:textId="5EDD2949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5955F5F" w14:textId="6585D0D9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78B4EC" w14:textId="0497CB40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24FA18F3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8CBF5EC" w14:textId="6055F03B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62B9D" w14:textId="6CB60199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8E3E773" w14:textId="633AB922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A32F034" w14:textId="541C4E0A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35FB65" w14:textId="3DB906DB" w:rsidR="0082098C" w:rsidRPr="00397C0B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-22,20%</w:t>
            </w:r>
          </w:p>
        </w:tc>
      </w:tr>
      <w:tr w:rsidR="00397C0B" w:rsidRPr="00397C0B" w14:paraId="18160142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694BA77" w14:textId="55A5C158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22F63" w14:textId="44185DA1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EA0BFBA" w14:textId="6F934AC3" w:rsidR="0082098C" w:rsidRPr="00397C0B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7E84FCF" w14:textId="25035028" w:rsidR="0082098C" w:rsidRPr="00397C0B" w:rsidRDefault="00443856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4AA12D" w14:textId="4E652733" w:rsidR="0082098C" w:rsidRPr="00397C0B" w:rsidRDefault="007A391F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443856">
              <w:rPr>
                <w:rFonts w:ascii="Times New Roman" w:eastAsia="Times New Roman" w:hAnsi="Times New Roman" w:cs="Times New Roman"/>
                <w:bCs/>
                <w:lang w:eastAsia="ru-RU"/>
              </w:rPr>
              <w:t>6,12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0CDE43C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0E8AFF1" w14:textId="38D45BA8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B26D3E" w14:textId="4C8AD262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D15C24E" w14:textId="490EAA2E" w:rsidR="0082098C" w:rsidRPr="00397C0B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6CC21EC" w14:textId="52DE7125" w:rsidR="0082098C" w:rsidRPr="00397C0B" w:rsidRDefault="00443856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3E30AE" w14:textId="304EF32B" w:rsidR="0082098C" w:rsidRPr="00397C0B" w:rsidRDefault="001A4136" w:rsidP="007A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443856"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 w:rsidR="006C2B9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6C2B9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FF5C074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A4CAC92" w14:textId="6E6AF895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853992" w14:textId="5088902F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3FEA2C1" w14:textId="633FF89C" w:rsidR="0082098C" w:rsidRPr="00397C0B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AB6A4C0" w14:textId="01F0C551" w:rsidR="0082098C" w:rsidRPr="00397C0B" w:rsidRDefault="00443856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DB1D0A" w14:textId="21BEB09A" w:rsidR="0082098C" w:rsidRPr="00397C0B" w:rsidRDefault="007A391F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6C2B97">
              <w:rPr>
                <w:rFonts w:ascii="Times New Roman" w:eastAsia="Times New Roman" w:hAnsi="Times New Roman" w:cs="Times New Roman"/>
                <w:bCs/>
                <w:lang w:eastAsia="ru-RU"/>
              </w:rPr>
              <w:t>2,4</w:t>
            </w:r>
            <w:r w:rsidR="006C2B9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193AF401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98B60B4" w14:textId="26FEC071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98D8B" w14:textId="654EA9B5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087D127" w14:textId="0A959678" w:rsidR="0082098C" w:rsidRPr="00397C0B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56FC632" w14:textId="767D11DE" w:rsidR="0082098C" w:rsidRPr="00397C0B" w:rsidRDefault="00443856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133DE9" w14:textId="089A3B1D" w:rsidR="0082098C" w:rsidRPr="00397C0B" w:rsidRDefault="007A391F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6C2B97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  <w:r w:rsidR="006C2B9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171D507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ED5A46E" w14:textId="172D0FCF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11E35C" w14:textId="2179419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A4BFA45" w14:textId="2B012CFE" w:rsidR="0082098C" w:rsidRPr="00397C0B" w:rsidRDefault="00F502E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FCCE53B" w14:textId="173F6FC5" w:rsidR="0082098C" w:rsidRPr="00397C0B" w:rsidRDefault="0044385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83032B" w14:textId="6BB9C44A" w:rsidR="0082098C" w:rsidRPr="00397C0B" w:rsidRDefault="001A4136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6C2B97"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  <w:r w:rsidR="006C2B9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07DD16D7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D6477EF" w14:textId="56C2A2E1" w:rsidR="0082098C" w:rsidRPr="003145DA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5DA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9CE96" w14:textId="797962D0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A572443" w14:textId="299B47CF" w:rsidR="006C2B97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C16FB06" w14:textId="02F3BB76" w:rsidR="0082098C" w:rsidRPr="00397C0B" w:rsidRDefault="007A391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A90977" w14:textId="37B2DAC0" w:rsidR="0082098C" w:rsidRPr="00397C0B" w:rsidRDefault="001A4136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76F58C6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801288C" w14:textId="3421F3D2" w:rsidR="0082098C" w:rsidRPr="003145DA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5DA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D64F1" w14:textId="4250096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8964279" w14:textId="7B7DF436" w:rsidR="0082098C" w:rsidRPr="00397C0B" w:rsidRDefault="00F502EA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780FC64" w14:textId="344C6DDD" w:rsidR="0082098C" w:rsidRPr="00397C0B" w:rsidRDefault="0044385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5F5967" w14:textId="1A6EA890" w:rsidR="0082098C" w:rsidRPr="00397C0B" w:rsidRDefault="0044385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+2,22</w:t>
            </w:r>
            <w:r w:rsidR="001A413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2C9A53E2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2E272B77" w14:textId="387AAA1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B2D7A" w14:textId="3F2CCFD4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CC7278" w14:textId="11510429" w:rsidR="0082098C" w:rsidRPr="00397C0B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0503491" w14:textId="233C7AF0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FD89C0" w14:textId="0F720B55" w:rsidR="0082098C" w:rsidRPr="00397C0B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+1.64</w:t>
            </w:r>
            <w:r w:rsidR="000D2BC7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FEE868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FB4D849" w14:textId="7E2DBF85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A27E9" w14:textId="43AFD010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739E2BE" w14:textId="23EC6F28" w:rsidR="0082098C" w:rsidRPr="00397C0B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2BC8FB5" w14:textId="00CFC985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E1CFD3" w14:textId="51753466" w:rsidR="0082098C" w:rsidRPr="00397C0B" w:rsidRDefault="007A391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6C2B9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11.11</w:t>
            </w:r>
            <w:r w:rsidR="000D2BC7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0C1C907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1822DD2" w14:textId="6F2E773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24A00B" w14:textId="62C857B4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1C75CD" w14:textId="5692248F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0E00EF7" w14:textId="3F916468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AAFD3C" w14:textId="08874D08" w:rsidR="0082098C" w:rsidRPr="00397C0B" w:rsidRDefault="000D2BC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741865EF" w14:textId="77777777" w:rsidTr="006E6FF2">
        <w:trPr>
          <w:trHeight w:val="281"/>
        </w:trPr>
        <w:tc>
          <w:tcPr>
            <w:tcW w:w="5402" w:type="dxa"/>
            <w:shd w:val="clear" w:color="auto" w:fill="auto"/>
            <w:noWrap/>
            <w:vAlign w:val="bottom"/>
          </w:tcPr>
          <w:p w14:paraId="5A143A30" w14:textId="573D3D73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092C90" w14:textId="449FC580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BFF6415" w14:textId="4DF34BB4" w:rsidR="0082098C" w:rsidRPr="00397C0B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FAF5650" w14:textId="34CAC582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8F2F5A" w14:textId="07D53062" w:rsidR="0082098C" w:rsidRPr="00397C0B" w:rsidRDefault="000D2BC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6C2B97">
              <w:rPr>
                <w:rFonts w:ascii="Times New Roman" w:eastAsia="Times New Roman" w:hAnsi="Times New Roman" w:cs="Times New Roman"/>
                <w:bCs/>
                <w:lang w:eastAsia="ru-RU"/>
              </w:rPr>
              <w:t>11,1</w:t>
            </w:r>
            <w:r w:rsidR="006C2B9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011AA64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13316CC" w14:textId="1C23C82B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FE54AB" w14:textId="25235843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B0305AE" w14:textId="3D570C07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DFDAAB7" w14:textId="050091D6" w:rsidR="0082098C" w:rsidRPr="006C2B97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8B2BC4" w14:textId="2650F6FC" w:rsidR="0082098C" w:rsidRPr="00397C0B" w:rsidRDefault="000D2BC7" w:rsidP="000D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0D5F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11.11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3F25456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D2373D6" w14:textId="5BA71AF4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1F973B" w14:textId="1273B8F6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AF99F00" w14:textId="7C8B6505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555CAD8" w14:textId="652B9F2C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53A672" w14:textId="10A5ED5A" w:rsidR="0082098C" w:rsidRPr="00397C0B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+33,3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 w:rsidR="000D2BC7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29AFA474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F3F2A3B" w14:textId="005F7B91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43C007" w14:textId="488F511D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32A6E90" w14:textId="3D27A0F3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DE04F9F" w14:textId="6F013EF3" w:rsidR="0082098C" w:rsidRPr="000D5FB0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0D5FB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5B6147" w14:textId="25FEB6E6" w:rsidR="0082098C" w:rsidRPr="00397C0B" w:rsidRDefault="007A391F" w:rsidP="000D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0D5F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2.13</w:t>
            </w:r>
            <w:r w:rsidR="000D2BC7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6615F8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795131DD" w14:textId="7748C0A7" w:rsidR="0082098C" w:rsidRPr="000D2BC7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C7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F2E724" w14:textId="37BB5DC9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39A33A9" w14:textId="2A09C5C2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DBC9D3C" w14:textId="610EB0EC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E8BB2B" w14:textId="0382D5E2" w:rsidR="0082098C" w:rsidRPr="00397C0B" w:rsidRDefault="000D2BC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6BE49045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2F116A1" w14:textId="1E47A72E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E12C8" w14:textId="0BA62F72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F233288" w14:textId="0176D680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4568E3C" w14:textId="3E7FDDDD" w:rsidR="0082098C" w:rsidRPr="00397C0B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9B4CF9" w14:textId="47856AE2" w:rsidR="0082098C" w:rsidRPr="00397C0B" w:rsidRDefault="0082098C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18EE30A0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7280ED7" w14:textId="219AABC6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CE1BA9" w14:textId="6670DEB8" w:rsidR="0082098C" w:rsidRPr="00397C0B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C07D5CB" w14:textId="71F0E80F" w:rsidR="0082098C" w:rsidRPr="00397C0B" w:rsidRDefault="00443856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A1BDD0" w14:textId="3BCCBEC3" w:rsidR="0082098C" w:rsidRPr="000D5FB0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FBB225" w14:textId="17D1C97D" w:rsidR="0082098C" w:rsidRPr="00397C0B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1.76</w:t>
            </w:r>
            <w:r w:rsidR="0082098C" w:rsidRPr="008209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3F332746" w14:textId="77777777" w:rsidR="00F4603F" w:rsidRPr="00397C0B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5FA9B6" w14:textId="4A4C1A9F" w:rsidR="000D2BC7" w:rsidRPr="00E176CA" w:rsidRDefault="002D59ED" w:rsidP="00E176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5317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615317">
        <w:rPr>
          <w:rFonts w:ascii="Times New Roman" w:hAnsi="Times New Roman" w:cs="Times New Roman"/>
          <w:sz w:val="24"/>
          <w:szCs w:val="24"/>
        </w:rPr>
        <w:t xml:space="preserve"> </w:t>
      </w:r>
      <w:r w:rsidR="00397C0B" w:rsidRPr="00615317">
        <w:rPr>
          <w:rFonts w:ascii="Times New Roman" w:hAnsi="Times New Roman" w:cs="Times New Roman"/>
          <w:sz w:val="24"/>
          <w:szCs w:val="24"/>
        </w:rPr>
        <w:t xml:space="preserve">увеличение числа занятых субъектов МСП с начала года отмечено </w:t>
      </w:r>
      <w:r w:rsidR="000D5FB0">
        <w:rPr>
          <w:rFonts w:ascii="Times New Roman" w:hAnsi="Times New Roman" w:cs="Times New Roman"/>
          <w:sz w:val="24"/>
          <w:szCs w:val="24"/>
        </w:rPr>
        <w:t xml:space="preserve">в </w:t>
      </w:r>
      <w:r w:rsidR="000D5FB0" w:rsidRPr="000D5FB0">
        <w:rPr>
          <w:rFonts w:ascii="Times New Roman" w:hAnsi="Times New Roman" w:cs="Times New Roman"/>
          <w:sz w:val="24"/>
          <w:szCs w:val="24"/>
        </w:rPr>
        <w:t>10</w:t>
      </w:r>
      <w:r w:rsidR="00615317">
        <w:rPr>
          <w:rFonts w:ascii="Times New Roman" w:hAnsi="Times New Roman" w:cs="Times New Roman"/>
          <w:sz w:val="24"/>
          <w:szCs w:val="24"/>
        </w:rPr>
        <w:t xml:space="preserve"> отраслях: </w:t>
      </w:r>
      <w:r w:rsidR="00BE4B7F">
        <w:rPr>
          <w:rFonts w:ascii="Times New Roman" w:hAnsi="Times New Roman" w:cs="Times New Roman"/>
          <w:sz w:val="24"/>
          <w:szCs w:val="24"/>
        </w:rPr>
        <w:t>д</w:t>
      </w:r>
      <w:r w:rsidR="00BE4B7F" w:rsidRPr="00BE4B7F">
        <w:rPr>
          <w:rFonts w:ascii="Times New Roman" w:hAnsi="Times New Roman" w:cs="Times New Roman"/>
          <w:sz w:val="24"/>
          <w:szCs w:val="24"/>
        </w:rPr>
        <w:t>обыча полезных ископаемых</w:t>
      </w:r>
      <w:r w:rsidR="00BE4B7F">
        <w:rPr>
          <w:rFonts w:ascii="Times New Roman" w:hAnsi="Times New Roman" w:cs="Times New Roman"/>
          <w:sz w:val="24"/>
          <w:szCs w:val="24"/>
        </w:rPr>
        <w:t>,</w:t>
      </w:r>
      <w:r w:rsidR="00BE4B7F" w:rsidRPr="00BE4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BC7">
        <w:rPr>
          <w:rFonts w:ascii="Times New Roman" w:eastAsia="Times New Roman" w:hAnsi="Times New Roman" w:cs="Times New Roman"/>
          <w:lang w:eastAsia="ru-RU"/>
        </w:rPr>
        <w:t>с</w:t>
      </w:r>
      <w:r w:rsidR="000D2BC7" w:rsidRPr="000D2BC7">
        <w:rPr>
          <w:rFonts w:ascii="Times New Roman" w:eastAsia="Times New Roman" w:hAnsi="Times New Roman" w:cs="Times New Roman"/>
          <w:lang w:eastAsia="ru-RU"/>
        </w:rPr>
        <w:t>троительство</w:t>
      </w:r>
      <w:r w:rsidR="000D2BC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176CA">
        <w:rPr>
          <w:rFonts w:ascii="Times New Roman" w:eastAsia="Times New Roman" w:hAnsi="Times New Roman" w:cs="Times New Roman"/>
          <w:lang w:val="en-US" w:eastAsia="ru-RU"/>
        </w:rPr>
        <w:t>n</w:t>
      </w:r>
      <w:r w:rsidR="00E176CA" w:rsidRPr="00E176CA">
        <w:rPr>
          <w:rFonts w:ascii="Times New Roman" w:eastAsia="Times New Roman" w:hAnsi="Times New Roman" w:cs="Times New Roman"/>
          <w:lang w:eastAsia="ru-RU"/>
        </w:rPr>
        <w:t>торговля оптовая и розничная; ремонт автотранспортных средств и мотоциклов</w:t>
      </w:r>
      <w:proofErr w:type="gramStart"/>
      <w:r w:rsidR="00E176CA" w:rsidRPr="00E176CA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E176CA" w:rsidRPr="00E176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4B7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E4B7F" w:rsidRPr="00BE4B7F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BE4B7F">
        <w:rPr>
          <w:rFonts w:ascii="Times New Roman" w:hAnsi="Times New Roman" w:cs="Times New Roman"/>
          <w:sz w:val="24"/>
          <w:szCs w:val="24"/>
        </w:rPr>
        <w:t>,</w:t>
      </w:r>
      <w:r w:rsidR="00BE4B7F" w:rsidRPr="00BE4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CA">
        <w:rPr>
          <w:rFonts w:ascii="Times New Roman" w:eastAsia="Times New Roman" w:hAnsi="Times New Roman" w:cs="Times New Roman"/>
          <w:lang w:eastAsia="ru-RU"/>
        </w:rPr>
        <w:t>д</w:t>
      </w:r>
      <w:r w:rsidR="00E176CA" w:rsidRPr="00E176CA">
        <w:rPr>
          <w:rFonts w:ascii="Times New Roman" w:eastAsia="Times New Roman" w:hAnsi="Times New Roman" w:cs="Times New Roman"/>
          <w:lang w:eastAsia="ru-RU"/>
        </w:rPr>
        <w:t>еятельность гостиниц и предприятий общественного питания</w:t>
      </w:r>
      <w:r w:rsidR="00E176CA">
        <w:rPr>
          <w:rFonts w:ascii="Times New Roman" w:eastAsia="Times New Roman" w:hAnsi="Times New Roman" w:cs="Times New Roman"/>
          <w:lang w:eastAsia="ru-RU"/>
        </w:rPr>
        <w:t>, д</w:t>
      </w:r>
      <w:r w:rsidR="00E176CA" w:rsidRPr="00E176CA">
        <w:rPr>
          <w:rFonts w:ascii="Times New Roman" w:eastAsia="Times New Roman" w:hAnsi="Times New Roman" w:cs="Times New Roman"/>
          <w:lang w:eastAsia="ru-RU"/>
        </w:rPr>
        <w:t>еятельность по операциям с недвижимым имуществом</w:t>
      </w:r>
      <w:r w:rsidR="00E176CA">
        <w:rPr>
          <w:rFonts w:ascii="Times New Roman" w:eastAsia="Times New Roman" w:hAnsi="Times New Roman" w:cs="Times New Roman"/>
          <w:lang w:eastAsia="ru-RU"/>
        </w:rPr>
        <w:t>,</w:t>
      </w:r>
      <w:r w:rsidR="00E176CA" w:rsidRPr="00E176CA">
        <w:t xml:space="preserve"> </w:t>
      </w:r>
      <w:r w:rsidR="00E176CA">
        <w:rPr>
          <w:rFonts w:ascii="Times New Roman" w:eastAsia="Times New Roman" w:hAnsi="Times New Roman" w:cs="Times New Roman"/>
          <w:lang w:eastAsia="ru-RU"/>
        </w:rPr>
        <w:t>д</w:t>
      </w:r>
      <w:r w:rsidR="00E176CA" w:rsidRPr="00E176CA">
        <w:rPr>
          <w:rFonts w:ascii="Times New Roman" w:eastAsia="Times New Roman" w:hAnsi="Times New Roman" w:cs="Times New Roman"/>
          <w:lang w:eastAsia="ru-RU"/>
        </w:rPr>
        <w:t>еятельность профессиональная, научная и техническая</w:t>
      </w:r>
      <w:r w:rsidR="00E176CA">
        <w:rPr>
          <w:rFonts w:ascii="Times New Roman" w:eastAsia="Times New Roman" w:hAnsi="Times New Roman" w:cs="Times New Roman"/>
          <w:lang w:eastAsia="ru-RU"/>
        </w:rPr>
        <w:t xml:space="preserve">,  </w:t>
      </w:r>
      <w:r w:rsidR="000D2BC7">
        <w:rPr>
          <w:rFonts w:ascii="Times New Roman" w:eastAsia="Times New Roman" w:hAnsi="Times New Roman" w:cs="Times New Roman"/>
          <w:lang w:eastAsia="ru-RU"/>
        </w:rPr>
        <w:t>д</w:t>
      </w:r>
      <w:r w:rsidR="000D2BC7" w:rsidRPr="000D2BC7">
        <w:rPr>
          <w:rFonts w:ascii="Times New Roman" w:eastAsia="Times New Roman" w:hAnsi="Times New Roman" w:cs="Times New Roman"/>
          <w:lang w:eastAsia="ru-RU"/>
        </w:rPr>
        <w:t>еятельность административная и сопутствующие дополнительные услуги</w:t>
      </w:r>
      <w:r w:rsidR="000D2BC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E4B7F">
        <w:rPr>
          <w:rFonts w:ascii="Times New Roman" w:hAnsi="Times New Roman" w:cs="Times New Roman"/>
          <w:sz w:val="24"/>
          <w:szCs w:val="24"/>
        </w:rPr>
        <w:t>д</w:t>
      </w:r>
      <w:r w:rsidR="00BE4B7F" w:rsidRPr="00BE4B7F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0D2BC7">
        <w:rPr>
          <w:rFonts w:ascii="Times New Roman" w:hAnsi="Times New Roman" w:cs="Times New Roman"/>
          <w:sz w:val="24"/>
          <w:szCs w:val="24"/>
        </w:rPr>
        <w:t>, п</w:t>
      </w:r>
      <w:r w:rsidR="000D2BC7" w:rsidRPr="000D2BC7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BE4B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06D5D" w14:textId="4697218B" w:rsidR="001F3DC9" w:rsidRPr="007A391F" w:rsidRDefault="00397C0B" w:rsidP="00E176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динамики наблюдается в </w:t>
      </w:r>
      <w:r w:rsidR="000D2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отрасли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1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обрабатывающее производство, 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3808" w:rsidRP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финансовая и страховая</w:t>
      </w:r>
      <w:r w:rsidR="007A39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176CA">
        <w:rPr>
          <w:rFonts w:ascii="Times New Roman" w:eastAsia="Times New Roman" w:hAnsi="Times New Roman" w:cs="Times New Roman"/>
          <w:lang w:eastAsia="ru-RU"/>
        </w:rPr>
        <w:t>г</w:t>
      </w:r>
      <w:r w:rsidR="00E176CA" w:rsidRPr="00E176CA">
        <w:rPr>
          <w:rFonts w:ascii="Times New Roman" w:eastAsia="Times New Roman" w:hAnsi="Times New Roman" w:cs="Times New Roman"/>
          <w:lang w:eastAsia="ru-RU"/>
        </w:rPr>
        <w:t>осударственное управление и обеспечение военной безопасности; социальное обеспечение</w:t>
      </w:r>
      <w:r w:rsidR="007A391F">
        <w:rPr>
          <w:rFonts w:ascii="Times New Roman" w:eastAsia="Times New Roman" w:hAnsi="Times New Roman" w:cs="Times New Roman"/>
          <w:lang w:eastAsia="ru-RU"/>
        </w:rPr>
        <w:t>,</w:t>
      </w:r>
      <w:r w:rsidR="007A391F" w:rsidRPr="007A39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CA">
        <w:rPr>
          <w:rFonts w:ascii="Times New Roman" w:eastAsia="Times New Roman" w:hAnsi="Times New Roman" w:cs="Times New Roman"/>
          <w:lang w:eastAsia="ru-RU"/>
        </w:rPr>
        <w:t>д</w:t>
      </w:r>
      <w:r w:rsidR="00E176CA" w:rsidRPr="00E176CA">
        <w:rPr>
          <w:rFonts w:ascii="Times New Roman" w:eastAsia="Times New Roman" w:hAnsi="Times New Roman" w:cs="Times New Roman"/>
          <w:lang w:eastAsia="ru-RU"/>
        </w:rPr>
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="00E176CA">
        <w:rPr>
          <w:rFonts w:ascii="Times New Roman" w:eastAsia="Times New Roman" w:hAnsi="Times New Roman" w:cs="Times New Roman"/>
          <w:lang w:eastAsia="ru-RU"/>
        </w:rPr>
        <w:t>, д</w:t>
      </w:r>
      <w:r w:rsidR="00E176CA" w:rsidRPr="00E176CA">
        <w:rPr>
          <w:rFonts w:ascii="Times New Roman" w:eastAsia="Times New Roman" w:hAnsi="Times New Roman" w:cs="Times New Roman"/>
          <w:lang w:eastAsia="ru-RU"/>
        </w:rPr>
        <w:t>еятельность экстерриториальных организаций и органов</w:t>
      </w:r>
      <w:r w:rsidR="00E176C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C3808">
        <w:rPr>
          <w:rFonts w:ascii="Times New Roman" w:hAnsi="Times New Roman" w:cs="Times New Roman"/>
          <w:sz w:val="24"/>
          <w:szCs w:val="24"/>
        </w:rPr>
        <w:t>П</w:t>
      </w:r>
      <w:r w:rsidR="00686D4C" w:rsidRPr="00C37EFD">
        <w:rPr>
          <w:rFonts w:ascii="Times New Roman" w:hAnsi="Times New Roman" w:cs="Times New Roman"/>
          <w:sz w:val="24"/>
          <w:szCs w:val="24"/>
        </w:rPr>
        <w:t xml:space="preserve">о </w:t>
      </w:r>
      <w:r w:rsidR="00CC3808">
        <w:rPr>
          <w:rFonts w:ascii="Times New Roman" w:hAnsi="Times New Roman" w:cs="Times New Roman"/>
          <w:sz w:val="24"/>
          <w:szCs w:val="24"/>
        </w:rPr>
        <w:t>остальным</w:t>
      </w:r>
      <w:r w:rsidR="00686D4C" w:rsidRPr="00C37EFD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C37EFD" w:rsidRPr="00C37EFD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686D4C" w:rsidRPr="00C37EFD">
        <w:rPr>
          <w:rFonts w:ascii="Times New Roman" w:hAnsi="Times New Roman" w:cs="Times New Roman"/>
          <w:sz w:val="24"/>
          <w:szCs w:val="24"/>
        </w:rPr>
        <w:t>отрицательная.</w:t>
      </w:r>
      <w:r w:rsidR="00DC5E4A" w:rsidRPr="00C37E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7FBB7" w14:textId="40BC075E" w:rsidR="000D2BC7" w:rsidRPr="00160A5C" w:rsidRDefault="00177ADF" w:rsidP="00E1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E176CA">
        <w:rPr>
          <w:rFonts w:ascii="Times New Roman" w:hAnsi="Times New Roman" w:cs="Times New Roman"/>
          <w:sz w:val="24"/>
          <w:szCs w:val="24"/>
        </w:rPr>
        <w:t>ноября</w:t>
      </w:r>
      <w:r w:rsidRPr="00160A5C">
        <w:rPr>
          <w:rFonts w:ascii="Times New Roman" w:hAnsi="Times New Roman" w:cs="Times New Roman"/>
          <w:sz w:val="24"/>
          <w:szCs w:val="24"/>
        </w:rPr>
        <w:t xml:space="preserve"> 2022 года по </w:t>
      </w:r>
      <w:r w:rsidR="00E176CA"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160A5C">
        <w:rPr>
          <w:rFonts w:ascii="Times New Roman" w:hAnsi="Times New Roman" w:cs="Times New Roman"/>
          <w:sz w:val="24"/>
          <w:szCs w:val="24"/>
        </w:rPr>
        <w:t>2023 года динамика количества субъектов МСП, осуществляющих деятельность на территор</w:t>
      </w:r>
      <w:r w:rsidR="00CC3808" w:rsidRPr="00160A5C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E176CA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="00E176CA" w:rsidRPr="00E176CA">
        <w:rPr>
          <w:rFonts w:ascii="Times New Roman" w:hAnsi="Times New Roman" w:cs="Times New Roman"/>
          <w:sz w:val="24"/>
          <w:szCs w:val="24"/>
        </w:rPr>
        <w:t xml:space="preserve">, соответствовала основным тенденциям других районов Смоленской области. Из 27 муниципальных образований региона в 15 отмечено снижение количества субъектов МСП за десять месяцев 2023 года; положительная динамика отмечена в Вяземском, Гагаринском, </w:t>
      </w:r>
      <w:proofErr w:type="spellStart"/>
      <w:r w:rsidR="00E176CA" w:rsidRPr="00E176CA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E176CA" w:rsidRPr="00E17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6CA" w:rsidRPr="00E176CA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E176CA" w:rsidRPr="00E17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6CA" w:rsidRPr="00E176CA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E176CA" w:rsidRPr="00E176CA">
        <w:rPr>
          <w:rFonts w:ascii="Times New Roman" w:hAnsi="Times New Roman" w:cs="Times New Roman"/>
          <w:sz w:val="24"/>
          <w:szCs w:val="24"/>
        </w:rPr>
        <w:t xml:space="preserve">, Смоленском, </w:t>
      </w:r>
      <w:proofErr w:type="spellStart"/>
      <w:r w:rsidR="00E176CA" w:rsidRPr="00E176CA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E176CA" w:rsidRPr="00E17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6CA" w:rsidRPr="00E176CA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="00E176CA" w:rsidRPr="00E17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6CA" w:rsidRPr="00E176CA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E176CA" w:rsidRPr="00E176CA">
        <w:rPr>
          <w:rFonts w:ascii="Times New Roman" w:hAnsi="Times New Roman" w:cs="Times New Roman"/>
          <w:sz w:val="24"/>
          <w:szCs w:val="24"/>
        </w:rPr>
        <w:t xml:space="preserve"> районах, а также в г. Смоленске и г. Десногорске. В </w:t>
      </w:r>
      <w:proofErr w:type="spellStart"/>
      <w:r w:rsidR="00E176CA" w:rsidRPr="00E176CA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E176CA" w:rsidRPr="00E176CA">
        <w:rPr>
          <w:rFonts w:ascii="Times New Roman" w:hAnsi="Times New Roman" w:cs="Times New Roman"/>
          <w:sz w:val="24"/>
          <w:szCs w:val="24"/>
        </w:rPr>
        <w:t xml:space="preserve"> районе динамика отсутствует</w:t>
      </w:r>
      <w:r w:rsidR="000D2BC7" w:rsidRPr="00160A5C">
        <w:rPr>
          <w:rFonts w:ascii="Times New Roman" w:hAnsi="Times New Roman" w:cs="Times New Roman"/>
          <w:sz w:val="24"/>
          <w:szCs w:val="24"/>
        </w:rPr>
        <w:t>.</w:t>
      </w:r>
    </w:p>
    <w:p w14:paraId="45706236" w14:textId="13D4A82E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</w:t>
      </w:r>
      <w:r w:rsidR="00E176CA">
        <w:rPr>
          <w:rFonts w:ascii="Times New Roman" w:hAnsi="Times New Roman" w:cs="Times New Roman"/>
          <w:sz w:val="24"/>
          <w:szCs w:val="24"/>
        </w:rPr>
        <w:t>увеличение количества МСП на 27</w:t>
      </w:r>
      <w:r w:rsidRPr="00160A5C">
        <w:rPr>
          <w:rFonts w:ascii="Times New Roman" w:hAnsi="Times New Roman" w:cs="Times New Roman"/>
          <w:sz w:val="24"/>
          <w:szCs w:val="24"/>
        </w:rPr>
        <w:t xml:space="preserve"> ед. (</w:t>
      </w:r>
      <w:r w:rsidR="00E176CA">
        <w:rPr>
          <w:rFonts w:ascii="Times New Roman" w:hAnsi="Times New Roman" w:cs="Times New Roman"/>
          <w:sz w:val="24"/>
          <w:szCs w:val="24"/>
        </w:rPr>
        <w:t>1,76</w:t>
      </w:r>
      <w:r w:rsidRPr="00160A5C">
        <w:rPr>
          <w:rFonts w:ascii="Times New Roman" w:hAnsi="Times New Roman" w:cs="Times New Roman"/>
          <w:sz w:val="24"/>
          <w:szCs w:val="24"/>
        </w:rPr>
        <w:t>%).</w:t>
      </w:r>
    </w:p>
    <w:p w14:paraId="2BC8BA24" w14:textId="7D1F366D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районе наиболее популярными видами деятельности являются: торговля оптовая и розничная, ремонт </w:t>
      </w:r>
      <w:r w:rsidRPr="00160A5C">
        <w:rPr>
          <w:rFonts w:ascii="Times New Roman" w:hAnsi="Times New Roman" w:cs="Times New Roman"/>
          <w:sz w:val="24"/>
          <w:szCs w:val="24"/>
        </w:rPr>
        <w:lastRenderedPageBreak/>
        <w:t>автотранспортных средств и мотоциклов; транспортировка и хранение; обрабатывающие производства; строительство.</w:t>
      </w:r>
    </w:p>
    <w:p w14:paraId="2B70D9FC" w14:textId="77777777" w:rsidR="000D2BC7" w:rsidRPr="00160A5C" w:rsidRDefault="000D2BC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2BC7" w:rsidRPr="00160A5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622A0" w14:textId="77777777" w:rsidR="00374383" w:rsidRDefault="00374383" w:rsidP="00434DB7">
      <w:pPr>
        <w:spacing w:after="0" w:line="240" w:lineRule="auto"/>
      </w:pPr>
      <w:r>
        <w:separator/>
      </w:r>
    </w:p>
  </w:endnote>
  <w:endnote w:type="continuationSeparator" w:id="0">
    <w:p w14:paraId="52BFB715" w14:textId="77777777" w:rsidR="00374383" w:rsidRDefault="0037438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F9C14" w14:textId="77777777" w:rsidR="00374383" w:rsidRDefault="00374383" w:rsidP="00434DB7">
      <w:pPr>
        <w:spacing w:after="0" w:line="240" w:lineRule="auto"/>
      </w:pPr>
      <w:r>
        <w:separator/>
      </w:r>
    </w:p>
  </w:footnote>
  <w:footnote w:type="continuationSeparator" w:id="0">
    <w:p w14:paraId="22F6E0C6" w14:textId="77777777" w:rsidR="00374383" w:rsidRDefault="0037438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23068"/>
    <w:rsid w:val="00023F9B"/>
    <w:rsid w:val="000312CC"/>
    <w:rsid w:val="00032A9B"/>
    <w:rsid w:val="0003418E"/>
    <w:rsid w:val="0003636F"/>
    <w:rsid w:val="000415AB"/>
    <w:rsid w:val="00044138"/>
    <w:rsid w:val="00045A24"/>
    <w:rsid w:val="00046BC8"/>
    <w:rsid w:val="00052701"/>
    <w:rsid w:val="000563A8"/>
    <w:rsid w:val="00060102"/>
    <w:rsid w:val="00062997"/>
    <w:rsid w:val="00066F84"/>
    <w:rsid w:val="0006732D"/>
    <w:rsid w:val="00074F6E"/>
    <w:rsid w:val="0008191A"/>
    <w:rsid w:val="00083EE5"/>
    <w:rsid w:val="00086719"/>
    <w:rsid w:val="000929EC"/>
    <w:rsid w:val="0009435A"/>
    <w:rsid w:val="000957F8"/>
    <w:rsid w:val="00095F6B"/>
    <w:rsid w:val="000B0845"/>
    <w:rsid w:val="000B1BF3"/>
    <w:rsid w:val="000B2000"/>
    <w:rsid w:val="000B6B65"/>
    <w:rsid w:val="000B6FEF"/>
    <w:rsid w:val="000C367C"/>
    <w:rsid w:val="000D108F"/>
    <w:rsid w:val="000D2BC7"/>
    <w:rsid w:val="000D5FB0"/>
    <w:rsid w:val="000D7B2C"/>
    <w:rsid w:val="000E3D9C"/>
    <w:rsid w:val="000F2CD6"/>
    <w:rsid w:val="000F343C"/>
    <w:rsid w:val="000F5D7B"/>
    <w:rsid w:val="000F7FC7"/>
    <w:rsid w:val="00114A1C"/>
    <w:rsid w:val="00123ECF"/>
    <w:rsid w:val="001268AC"/>
    <w:rsid w:val="001327B0"/>
    <w:rsid w:val="00132ED7"/>
    <w:rsid w:val="001331F9"/>
    <w:rsid w:val="00135526"/>
    <w:rsid w:val="001452FD"/>
    <w:rsid w:val="00160A5C"/>
    <w:rsid w:val="00161617"/>
    <w:rsid w:val="00163E31"/>
    <w:rsid w:val="00166B59"/>
    <w:rsid w:val="00166EB9"/>
    <w:rsid w:val="00170C88"/>
    <w:rsid w:val="00170F32"/>
    <w:rsid w:val="0017187A"/>
    <w:rsid w:val="00172271"/>
    <w:rsid w:val="00177ADF"/>
    <w:rsid w:val="0018254E"/>
    <w:rsid w:val="00187046"/>
    <w:rsid w:val="00191A05"/>
    <w:rsid w:val="0019274D"/>
    <w:rsid w:val="00195F04"/>
    <w:rsid w:val="001A413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1B41"/>
    <w:rsid w:val="00273821"/>
    <w:rsid w:val="00281A49"/>
    <w:rsid w:val="00282FA1"/>
    <w:rsid w:val="00290278"/>
    <w:rsid w:val="0029104D"/>
    <w:rsid w:val="002B09A2"/>
    <w:rsid w:val="002C1310"/>
    <w:rsid w:val="002C257D"/>
    <w:rsid w:val="002D21A6"/>
    <w:rsid w:val="002D59ED"/>
    <w:rsid w:val="002D5AA4"/>
    <w:rsid w:val="002D633E"/>
    <w:rsid w:val="002E3782"/>
    <w:rsid w:val="002E49B0"/>
    <w:rsid w:val="002F3AA3"/>
    <w:rsid w:val="00302B09"/>
    <w:rsid w:val="00306231"/>
    <w:rsid w:val="003145DA"/>
    <w:rsid w:val="003155BE"/>
    <w:rsid w:val="0031581B"/>
    <w:rsid w:val="003247DB"/>
    <w:rsid w:val="00330696"/>
    <w:rsid w:val="00333055"/>
    <w:rsid w:val="003363E1"/>
    <w:rsid w:val="00340813"/>
    <w:rsid w:val="0034232B"/>
    <w:rsid w:val="003630D4"/>
    <w:rsid w:val="003639BD"/>
    <w:rsid w:val="00365515"/>
    <w:rsid w:val="00374383"/>
    <w:rsid w:val="003825AE"/>
    <w:rsid w:val="003828E3"/>
    <w:rsid w:val="00386FC9"/>
    <w:rsid w:val="003904DA"/>
    <w:rsid w:val="00390E79"/>
    <w:rsid w:val="00393E49"/>
    <w:rsid w:val="00397C0B"/>
    <w:rsid w:val="003A1025"/>
    <w:rsid w:val="003B2598"/>
    <w:rsid w:val="003B6BCA"/>
    <w:rsid w:val="003C153B"/>
    <w:rsid w:val="003D4EFD"/>
    <w:rsid w:val="003D51D5"/>
    <w:rsid w:val="003E1337"/>
    <w:rsid w:val="003E36A7"/>
    <w:rsid w:val="00406B45"/>
    <w:rsid w:val="00407E74"/>
    <w:rsid w:val="00411A28"/>
    <w:rsid w:val="004207E6"/>
    <w:rsid w:val="004225D5"/>
    <w:rsid w:val="00423E82"/>
    <w:rsid w:val="0042427B"/>
    <w:rsid w:val="00424D4B"/>
    <w:rsid w:val="00432F96"/>
    <w:rsid w:val="00433162"/>
    <w:rsid w:val="00434DB7"/>
    <w:rsid w:val="0044295E"/>
    <w:rsid w:val="00443856"/>
    <w:rsid w:val="004470EA"/>
    <w:rsid w:val="00450B44"/>
    <w:rsid w:val="00455B9E"/>
    <w:rsid w:val="00455F37"/>
    <w:rsid w:val="004575D9"/>
    <w:rsid w:val="004671C6"/>
    <w:rsid w:val="00474821"/>
    <w:rsid w:val="00480A3F"/>
    <w:rsid w:val="004821D6"/>
    <w:rsid w:val="0048651E"/>
    <w:rsid w:val="004925EB"/>
    <w:rsid w:val="004A7E66"/>
    <w:rsid w:val="004B633A"/>
    <w:rsid w:val="004C4D4E"/>
    <w:rsid w:val="004D7A63"/>
    <w:rsid w:val="004E3629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14666"/>
    <w:rsid w:val="00520EA2"/>
    <w:rsid w:val="00521BFB"/>
    <w:rsid w:val="0052298C"/>
    <w:rsid w:val="00522D09"/>
    <w:rsid w:val="005359D4"/>
    <w:rsid w:val="005365EA"/>
    <w:rsid w:val="005444A6"/>
    <w:rsid w:val="005502A4"/>
    <w:rsid w:val="0055057A"/>
    <w:rsid w:val="00550CA5"/>
    <w:rsid w:val="00563F7A"/>
    <w:rsid w:val="005675FB"/>
    <w:rsid w:val="005760E6"/>
    <w:rsid w:val="0057613E"/>
    <w:rsid w:val="0058024F"/>
    <w:rsid w:val="00582644"/>
    <w:rsid w:val="0058365B"/>
    <w:rsid w:val="005864F0"/>
    <w:rsid w:val="00591A4B"/>
    <w:rsid w:val="00594D7B"/>
    <w:rsid w:val="00594EB2"/>
    <w:rsid w:val="0059508A"/>
    <w:rsid w:val="005960A6"/>
    <w:rsid w:val="005A0E18"/>
    <w:rsid w:val="005A5E8A"/>
    <w:rsid w:val="005B0DDC"/>
    <w:rsid w:val="005B1429"/>
    <w:rsid w:val="005B6093"/>
    <w:rsid w:val="005C1DA1"/>
    <w:rsid w:val="005C3C7B"/>
    <w:rsid w:val="005D357B"/>
    <w:rsid w:val="005D43FA"/>
    <w:rsid w:val="005E091B"/>
    <w:rsid w:val="005E6556"/>
    <w:rsid w:val="005E6F12"/>
    <w:rsid w:val="00601403"/>
    <w:rsid w:val="0060750F"/>
    <w:rsid w:val="00615317"/>
    <w:rsid w:val="00632A52"/>
    <w:rsid w:val="00645D86"/>
    <w:rsid w:val="00664342"/>
    <w:rsid w:val="0066774B"/>
    <w:rsid w:val="00667C25"/>
    <w:rsid w:val="00684413"/>
    <w:rsid w:val="006862FF"/>
    <w:rsid w:val="00686D4C"/>
    <w:rsid w:val="00687DB7"/>
    <w:rsid w:val="006950F9"/>
    <w:rsid w:val="00697468"/>
    <w:rsid w:val="0069747C"/>
    <w:rsid w:val="006A3523"/>
    <w:rsid w:val="006B5827"/>
    <w:rsid w:val="006B5BEE"/>
    <w:rsid w:val="006B74BD"/>
    <w:rsid w:val="006C2824"/>
    <w:rsid w:val="006C2B97"/>
    <w:rsid w:val="006D24F1"/>
    <w:rsid w:val="006D3353"/>
    <w:rsid w:val="006D5EDF"/>
    <w:rsid w:val="006E2C5D"/>
    <w:rsid w:val="006E6844"/>
    <w:rsid w:val="006E6FF2"/>
    <w:rsid w:val="006F1C24"/>
    <w:rsid w:val="006F536B"/>
    <w:rsid w:val="006F5C28"/>
    <w:rsid w:val="0070187D"/>
    <w:rsid w:val="0071410C"/>
    <w:rsid w:val="00714A2F"/>
    <w:rsid w:val="00717C99"/>
    <w:rsid w:val="007271B9"/>
    <w:rsid w:val="00727D00"/>
    <w:rsid w:val="007324E4"/>
    <w:rsid w:val="00740E49"/>
    <w:rsid w:val="00753584"/>
    <w:rsid w:val="007637C2"/>
    <w:rsid w:val="00767A09"/>
    <w:rsid w:val="00771878"/>
    <w:rsid w:val="00791EE7"/>
    <w:rsid w:val="00794F4F"/>
    <w:rsid w:val="007A391F"/>
    <w:rsid w:val="007A4A63"/>
    <w:rsid w:val="007B4174"/>
    <w:rsid w:val="007B5ED8"/>
    <w:rsid w:val="007C0334"/>
    <w:rsid w:val="007C1839"/>
    <w:rsid w:val="007D0C56"/>
    <w:rsid w:val="007D4D90"/>
    <w:rsid w:val="007E3050"/>
    <w:rsid w:val="007F2614"/>
    <w:rsid w:val="008027E7"/>
    <w:rsid w:val="00803AAD"/>
    <w:rsid w:val="00804B3F"/>
    <w:rsid w:val="0081507E"/>
    <w:rsid w:val="0082098C"/>
    <w:rsid w:val="0082552F"/>
    <w:rsid w:val="00831F43"/>
    <w:rsid w:val="00832371"/>
    <w:rsid w:val="00833B7B"/>
    <w:rsid w:val="0083490D"/>
    <w:rsid w:val="00842E35"/>
    <w:rsid w:val="00851355"/>
    <w:rsid w:val="0085748F"/>
    <w:rsid w:val="00857AC1"/>
    <w:rsid w:val="0086484D"/>
    <w:rsid w:val="008705FE"/>
    <w:rsid w:val="008769DC"/>
    <w:rsid w:val="00876CED"/>
    <w:rsid w:val="00884BC3"/>
    <w:rsid w:val="00895D4D"/>
    <w:rsid w:val="008A20AF"/>
    <w:rsid w:val="008A4490"/>
    <w:rsid w:val="008A5E2D"/>
    <w:rsid w:val="008A77CB"/>
    <w:rsid w:val="008B06C4"/>
    <w:rsid w:val="008B52C2"/>
    <w:rsid w:val="008B5FB1"/>
    <w:rsid w:val="008C47BC"/>
    <w:rsid w:val="008C5384"/>
    <w:rsid w:val="008D0333"/>
    <w:rsid w:val="008E1FD1"/>
    <w:rsid w:val="008E5B13"/>
    <w:rsid w:val="008F4649"/>
    <w:rsid w:val="009011C1"/>
    <w:rsid w:val="00903C9D"/>
    <w:rsid w:val="009134BF"/>
    <w:rsid w:val="009146F0"/>
    <w:rsid w:val="00916924"/>
    <w:rsid w:val="0092561A"/>
    <w:rsid w:val="00927F1E"/>
    <w:rsid w:val="0093763A"/>
    <w:rsid w:val="009416EB"/>
    <w:rsid w:val="00942321"/>
    <w:rsid w:val="00944B0C"/>
    <w:rsid w:val="009466DD"/>
    <w:rsid w:val="009656A2"/>
    <w:rsid w:val="00967D01"/>
    <w:rsid w:val="00974469"/>
    <w:rsid w:val="00985D7B"/>
    <w:rsid w:val="0099348B"/>
    <w:rsid w:val="009A49A8"/>
    <w:rsid w:val="009B4FCB"/>
    <w:rsid w:val="009C35F2"/>
    <w:rsid w:val="009C43E2"/>
    <w:rsid w:val="009C7218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B5444"/>
    <w:rsid w:val="00AC06B6"/>
    <w:rsid w:val="00AD2AB3"/>
    <w:rsid w:val="00AD69C1"/>
    <w:rsid w:val="00AE14CB"/>
    <w:rsid w:val="00AE211E"/>
    <w:rsid w:val="00AE32B8"/>
    <w:rsid w:val="00AE7B7F"/>
    <w:rsid w:val="00AF5E0B"/>
    <w:rsid w:val="00B03B49"/>
    <w:rsid w:val="00B13E80"/>
    <w:rsid w:val="00B245CE"/>
    <w:rsid w:val="00B31AFB"/>
    <w:rsid w:val="00B415DD"/>
    <w:rsid w:val="00B47850"/>
    <w:rsid w:val="00B51FDB"/>
    <w:rsid w:val="00B607BE"/>
    <w:rsid w:val="00B61472"/>
    <w:rsid w:val="00B637B9"/>
    <w:rsid w:val="00B97F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D2C"/>
    <w:rsid w:val="00C378EF"/>
    <w:rsid w:val="00C37EFD"/>
    <w:rsid w:val="00C41573"/>
    <w:rsid w:val="00C43A6D"/>
    <w:rsid w:val="00C55C5B"/>
    <w:rsid w:val="00C74F36"/>
    <w:rsid w:val="00C81BEB"/>
    <w:rsid w:val="00C83ABA"/>
    <w:rsid w:val="00C857C4"/>
    <w:rsid w:val="00C93226"/>
    <w:rsid w:val="00CA2B46"/>
    <w:rsid w:val="00CA32E7"/>
    <w:rsid w:val="00CA6276"/>
    <w:rsid w:val="00CB1683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166CA"/>
    <w:rsid w:val="00D27289"/>
    <w:rsid w:val="00D31CE2"/>
    <w:rsid w:val="00D340E7"/>
    <w:rsid w:val="00D362FE"/>
    <w:rsid w:val="00D37C46"/>
    <w:rsid w:val="00D41F10"/>
    <w:rsid w:val="00D43874"/>
    <w:rsid w:val="00D47C97"/>
    <w:rsid w:val="00D563C0"/>
    <w:rsid w:val="00D6330D"/>
    <w:rsid w:val="00D66A4F"/>
    <w:rsid w:val="00D73192"/>
    <w:rsid w:val="00D747B2"/>
    <w:rsid w:val="00D80792"/>
    <w:rsid w:val="00D82D4A"/>
    <w:rsid w:val="00D83D7C"/>
    <w:rsid w:val="00D84E2F"/>
    <w:rsid w:val="00D8596C"/>
    <w:rsid w:val="00DA0308"/>
    <w:rsid w:val="00DB681E"/>
    <w:rsid w:val="00DC3F2B"/>
    <w:rsid w:val="00DC5E4A"/>
    <w:rsid w:val="00DE4BBE"/>
    <w:rsid w:val="00DF026F"/>
    <w:rsid w:val="00DF11FD"/>
    <w:rsid w:val="00DF245C"/>
    <w:rsid w:val="00DF3164"/>
    <w:rsid w:val="00E176CA"/>
    <w:rsid w:val="00E21419"/>
    <w:rsid w:val="00E33EDF"/>
    <w:rsid w:val="00E35885"/>
    <w:rsid w:val="00E36CCC"/>
    <w:rsid w:val="00E4016B"/>
    <w:rsid w:val="00E47E2D"/>
    <w:rsid w:val="00E50540"/>
    <w:rsid w:val="00E53BAC"/>
    <w:rsid w:val="00E7122F"/>
    <w:rsid w:val="00E749A2"/>
    <w:rsid w:val="00E74F62"/>
    <w:rsid w:val="00E8243C"/>
    <w:rsid w:val="00E82A8E"/>
    <w:rsid w:val="00E83947"/>
    <w:rsid w:val="00E96538"/>
    <w:rsid w:val="00EA256E"/>
    <w:rsid w:val="00EB5303"/>
    <w:rsid w:val="00EB539F"/>
    <w:rsid w:val="00EC3717"/>
    <w:rsid w:val="00ED474F"/>
    <w:rsid w:val="00ED64C6"/>
    <w:rsid w:val="00EE4244"/>
    <w:rsid w:val="00EF06D8"/>
    <w:rsid w:val="00EF27C8"/>
    <w:rsid w:val="00EF4949"/>
    <w:rsid w:val="00EF6E5E"/>
    <w:rsid w:val="00F01788"/>
    <w:rsid w:val="00F049F5"/>
    <w:rsid w:val="00F1047A"/>
    <w:rsid w:val="00F24AD0"/>
    <w:rsid w:val="00F31849"/>
    <w:rsid w:val="00F356DA"/>
    <w:rsid w:val="00F35CC0"/>
    <w:rsid w:val="00F42C13"/>
    <w:rsid w:val="00F43490"/>
    <w:rsid w:val="00F43E7F"/>
    <w:rsid w:val="00F4603F"/>
    <w:rsid w:val="00F47BF0"/>
    <w:rsid w:val="00F502EA"/>
    <w:rsid w:val="00F53298"/>
    <w:rsid w:val="00F62DE1"/>
    <w:rsid w:val="00F665F5"/>
    <w:rsid w:val="00F676B1"/>
    <w:rsid w:val="00F70990"/>
    <w:rsid w:val="00F73C92"/>
    <w:rsid w:val="00F74DAE"/>
    <w:rsid w:val="00F83CEA"/>
    <w:rsid w:val="00F906B4"/>
    <w:rsid w:val="00F95E4D"/>
    <w:rsid w:val="00F964D0"/>
    <w:rsid w:val="00FA02DD"/>
    <w:rsid w:val="00FA4E65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44875</c:v>
                </c:pt>
                <c:pt idx="1">
                  <c:v>44905</c:v>
                </c:pt>
                <c:pt idx="2">
                  <c:v>44936</c:v>
                </c:pt>
                <c:pt idx="3">
                  <c:v>44967</c:v>
                </c:pt>
                <c:pt idx="4">
                  <c:v>44995</c:v>
                </c:pt>
                <c:pt idx="5">
                  <c:v>45026</c:v>
                </c:pt>
                <c:pt idx="6">
                  <c:v>45056</c:v>
                </c:pt>
                <c:pt idx="7">
                  <c:v>45087</c:v>
                </c:pt>
                <c:pt idx="8">
                  <c:v>45117</c:v>
                </c:pt>
                <c:pt idx="9">
                  <c:v>45148</c:v>
                </c:pt>
                <c:pt idx="10">
                  <c:v>45179</c:v>
                </c:pt>
                <c:pt idx="11">
                  <c:v>45209</c:v>
                </c:pt>
                <c:pt idx="12">
                  <c:v>45240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499</c:v>
                </c:pt>
                <c:pt idx="1">
                  <c:v>495</c:v>
                </c:pt>
                <c:pt idx="2">
                  <c:v>497</c:v>
                </c:pt>
                <c:pt idx="3">
                  <c:v>502</c:v>
                </c:pt>
                <c:pt idx="4">
                  <c:v>503</c:v>
                </c:pt>
                <c:pt idx="5">
                  <c:v>507</c:v>
                </c:pt>
                <c:pt idx="6">
                  <c:v>506</c:v>
                </c:pt>
                <c:pt idx="7">
                  <c:v>510</c:v>
                </c:pt>
                <c:pt idx="8">
                  <c:v>477</c:v>
                </c:pt>
                <c:pt idx="9" formatCode="#,##0">
                  <c:v>480</c:v>
                </c:pt>
                <c:pt idx="10">
                  <c:v>481</c:v>
                </c:pt>
                <c:pt idx="11">
                  <c:v>484</c:v>
                </c:pt>
                <c:pt idx="12">
                  <c:v>488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44875</c:v>
                </c:pt>
                <c:pt idx="1">
                  <c:v>44905</c:v>
                </c:pt>
                <c:pt idx="2">
                  <c:v>44936</c:v>
                </c:pt>
                <c:pt idx="3">
                  <c:v>44967</c:v>
                </c:pt>
                <c:pt idx="4">
                  <c:v>44995</c:v>
                </c:pt>
                <c:pt idx="5">
                  <c:v>45026</c:v>
                </c:pt>
                <c:pt idx="6">
                  <c:v>45056</c:v>
                </c:pt>
                <c:pt idx="7">
                  <c:v>45087</c:v>
                </c:pt>
                <c:pt idx="8">
                  <c:v>45117</c:v>
                </c:pt>
                <c:pt idx="9">
                  <c:v>45148</c:v>
                </c:pt>
                <c:pt idx="10">
                  <c:v>45179</c:v>
                </c:pt>
                <c:pt idx="11">
                  <c:v>45209</c:v>
                </c:pt>
                <c:pt idx="12">
                  <c:v>45240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1040</c:v>
                </c:pt>
                <c:pt idx="1">
                  <c:v>1052</c:v>
                </c:pt>
                <c:pt idx="2">
                  <c:v>1038</c:v>
                </c:pt>
                <c:pt idx="3">
                  <c:v>1042</c:v>
                </c:pt>
                <c:pt idx="4">
                  <c:v>1046</c:v>
                </c:pt>
                <c:pt idx="5">
                  <c:v>1046</c:v>
                </c:pt>
                <c:pt idx="6">
                  <c:v>1060</c:v>
                </c:pt>
                <c:pt idx="7">
                  <c:v>1059</c:v>
                </c:pt>
                <c:pt idx="8">
                  <c:v>1014</c:v>
                </c:pt>
                <c:pt idx="9" formatCode="#,##0">
                  <c:v>1027</c:v>
                </c:pt>
                <c:pt idx="10">
                  <c:v>1032</c:v>
                </c:pt>
                <c:pt idx="11">
                  <c:v>1051</c:v>
                </c:pt>
                <c:pt idx="12">
                  <c:v>1074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44875</c:v>
                </c:pt>
                <c:pt idx="1">
                  <c:v>44905</c:v>
                </c:pt>
                <c:pt idx="2">
                  <c:v>44936</c:v>
                </c:pt>
                <c:pt idx="3">
                  <c:v>44967</c:v>
                </c:pt>
                <c:pt idx="4">
                  <c:v>44995</c:v>
                </c:pt>
                <c:pt idx="5">
                  <c:v>45026</c:v>
                </c:pt>
                <c:pt idx="6">
                  <c:v>45056</c:v>
                </c:pt>
                <c:pt idx="7">
                  <c:v>45087</c:v>
                </c:pt>
                <c:pt idx="8">
                  <c:v>45117</c:v>
                </c:pt>
                <c:pt idx="9">
                  <c:v>45148</c:v>
                </c:pt>
                <c:pt idx="10">
                  <c:v>45179</c:v>
                </c:pt>
                <c:pt idx="11">
                  <c:v>45209</c:v>
                </c:pt>
                <c:pt idx="12">
                  <c:v>45240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948032"/>
        <c:axId val="81731584"/>
      </c:lineChart>
      <c:dateAx>
        <c:axId val="79948032"/>
        <c:scaling>
          <c:orientation val="minMax"/>
          <c:max val="45240"/>
          <c:min val="44875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31584"/>
        <c:crosses val="autoZero"/>
        <c:auto val="1"/>
        <c:lblOffset val="100"/>
        <c:baseTimeUnit val="months"/>
      </c:dateAx>
      <c:valAx>
        <c:axId val="81731584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94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618</c:v>
                </c:pt>
                <c:pt idx="1">
                  <c:v>335</c:v>
                </c:pt>
                <c:pt idx="2">
                  <c:v>168</c:v>
                </c:pt>
                <c:pt idx="3">
                  <c:v>104</c:v>
                </c:pt>
                <c:pt idx="4">
                  <c:v>35</c:v>
                </c:pt>
                <c:pt idx="5">
                  <c:v>48</c:v>
                </c:pt>
                <c:pt idx="6">
                  <c:v>62</c:v>
                </c:pt>
                <c:pt idx="7">
                  <c:v>46</c:v>
                </c:pt>
                <c:pt idx="8">
                  <c:v>23</c:v>
                </c:pt>
                <c:pt idx="9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3667-F146-42FF-97CB-1C85C178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2</cp:revision>
  <cp:lastPrinted>2023-11-23T11:23:00Z</cp:lastPrinted>
  <dcterms:created xsi:type="dcterms:W3CDTF">2023-11-23T11:24:00Z</dcterms:created>
  <dcterms:modified xsi:type="dcterms:W3CDTF">2023-11-23T11:24:00Z</dcterms:modified>
</cp:coreProperties>
</file>